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BB28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CE57D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E92902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3FB50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04B90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C445B1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8E696D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D965A47">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3C51CAA6">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C0C03EC">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84BFBA">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707B25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1E08EE8">
      <w:pPr>
        <w:pStyle w:val="50"/>
        <w:framePr w:w="9639" w:h="6976" w:hRule="exact" w:hSpace="0" w:vSpace="0" w:hAnchor="page" w:y="6408"/>
        <w:jc w:val="center"/>
        <w:rPr>
          <w:rFonts w:hint="eastAsia" w:ascii="黑体" w:hAnsi="黑体" w:eastAsia="黑体"/>
          <w:b w:val="0"/>
          <w:bCs w:val="0"/>
          <w:w w:val="100"/>
        </w:rPr>
      </w:pPr>
    </w:p>
    <w:p w14:paraId="5C90B0D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旱地谷豆条带</w:t>
      </w:r>
      <w:r>
        <w:rPr>
          <w:rFonts w:hint="eastAsia"/>
          <w:lang w:eastAsia="zh-CN"/>
        </w:rPr>
        <w:t>种植</w:t>
      </w:r>
      <w:r>
        <w:t>技术规程</w:t>
      </w:r>
      <w:r>
        <w:fldChar w:fldCharType="end"/>
      </w:r>
      <w:bookmarkEnd w:id="9"/>
    </w:p>
    <w:p w14:paraId="4FB3EA7B">
      <w:pPr>
        <w:framePr w:w="9639" w:h="6974" w:hRule="exact" w:wrap="around" w:vAnchor="page" w:hAnchor="page" w:x="1419" w:y="6408" w:anchorLock="1"/>
        <w:ind w:left="-1418"/>
      </w:pPr>
    </w:p>
    <w:p w14:paraId="1EAF248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48A16178">
      <w:pPr>
        <w:framePr w:w="9639" w:h="6974" w:hRule="exact" w:wrap="around" w:vAnchor="page" w:hAnchor="page" w:x="1419" w:y="6408" w:anchorLock="1"/>
        <w:spacing w:line="760" w:lineRule="exact"/>
        <w:ind w:left="-1418"/>
      </w:pPr>
    </w:p>
    <w:p w14:paraId="00E2BCD9">
      <w:pPr>
        <w:pStyle w:val="125"/>
        <w:framePr w:w="9639" w:h="6974" w:hRule="exact" w:wrap="around" w:vAnchor="page" w:hAnchor="page" w:x="1419" w:y="6408" w:anchorLock="1"/>
        <w:textAlignment w:val="bottom"/>
        <w:rPr>
          <w:rFonts w:eastAsia="黑体"/>
          <w:szCs w:val="28"/>
        </w:rPr>
      </w:pPr>
    </w:p>
    <w:p w14:paraId="7CC22E5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E7647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B497F1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5FB42F6">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B5A9580">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A2873B7">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9DEB88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107F9B3">
      <w:pPr>
        <w:pStyle w:val="91"/>
        <w:spacing w:after="468"/>
      </w:pPr>
      <w:bookmarkStart w:id="21" w:name="BookMark1"/>
      <w:bookmarkStart w:id="22" w:name="_Toc180078826"/>
      <w:r>
        <w:rPr>
          <w:rFonts w:hint="eastAsia"/>
          <w:spacing w:val="320"/>
        </w:rPr>
        <w:t>目</w:t>
      </w:r>
      <w:r>
        <w:rPr>
          <w:rFonts w:hint="eastAsia"/>
        </w:rPr>
        <w:t>次</w:t>
      </w:r>
    </w:p>
    <w:p w14:paraId="1342C646">
      <w:pPr>
        <w:pStyle w:val="19"/>
        <w:tabs>
          <w:tab w:val="right" w:leader="dot" w:pos="9354"/>
        </w:tabs>
      </w:pPr>
      <w:r>
        <w:fldChar w:fldCharType="begin"/>
      </w:r>
      <w:r>
        <w:instrText xml:space="preserve"> TOC \o "1-1" \h </w:instrText>
      </w:r>
      <w:r>
        <w:fldChar w:fldCharType="separate"/>
      </w:r>
      <w:r>
        <w:fldChar w:fldCharType="begin"/>
      </w:r>
      <w:r>
        <w:instrText xml:space="preserve"> HYPERLINK \l _Toc21806 </w:instrText>
      </w:r>
      <w:r>
        <w:fldChar w:fldCharType="separate"/>
      </w:r>
      <w:r>
        <w:rPr>
          <w:spacing w:val="320"/>
        </w:rPr>
        <w:t>前</w:t>
      </w:r>
      <w:r>
        <w:t>言</w:t>
      </w:r>
      <w:r>
        <w:tab/>
      </w:r>
      <w:r>
        <w:fldChar w:fldCharType="begin"/>
      </w:r>
      <w:r>
        <w:instrText xml:space="preserve"> PAGEREF _Toc21806 \h </w:instrText>
      </w:r>
      <w:r>
        <w:fldChar w:fldCharType="separate"/>
      </w:r>
      <w:r>
        <w:t>II</w:t>
      </w:r>
      <w:r>
        <w:fldChar w:fldCharType="end"/>
      </w:r>
      <w:r>
        <w:fldChar w:fldCharType="end"/>
      </w:r>
    </w:p>
    <w:p w14:paraId="2816D2F1">
      <w:pPr>
        <w:pStyle w:val="19"/>
        <w:tabs>
          <w:tab w:val="right" w:leader="dot" w:pos="9354"/>
        </w:tabs>
      </w:pPr>
      <w:r>
        <w:fldChar w:fldCharType="begin"/>
      </w:r>
      <w:r>
        <w:instrText xml:space="preserve"> HYPERLINK \l _Toc2589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_Toc2589 \h </w:instrText>
      </w:r>
      <w:r>
        <w:fldChar w:fldCharType="separate"/>
      </w:r>
      <w:r>
        <w:t>3</w:t>
      </w:r>
      <w:r>
        <w:fldChar w:fldCharType="end"/>
      </w:r>
      <w:r>
        <w:fldChar w:fldCharType="end"/>
      </w:r>
    </w:p>
    <w:p w14:paraId="4C86F66F">
      <w:pPr>
        <w:pStyle w:val="19"/>
        <w:tabs>
          <w:tab w:val="right" w:leader="dot" w:pos="9354"/>
        </w:tabs>
      </w:pPr>
      <w:r>
        <w:fldChar w:fldCharType="begin"/>
      </w:r>
      <w:r>
        <w:instrText xml:space="preserve"> HYPERLINK \l _Toc15563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_Toc15563 \h </w:instrText>
      </w:r>
      <w:r>
        <w:fldChar w:fldCharType="separate"/>
      </w:r>
      <w:r>
        <w:t>3</w:t>
      </w:r>
      <w:r>
        <w:fldChar w:fldCharType="end"/>
      </w:r>
      <w:r>
        <w:fldChar w:fldCharType="end"/>
      </w:r>
    </w:p>
    <w:p w14:paraId="136F227C">
      <w:pPr>
        <w:pStyle w:val="19"/>
        <w:tabs>
          <w:tab w:val="right" w:leader="dot" w:pos="9354"/>
        </w:tabs>
      </w:pPr>
      <w:r>
        <w:fldChar w:fldCharType="begin"/>
      </w:r>
      <w:r>
        <w:instrText xml:space="preserve"> HYPERLINK \l _Toc30278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_Toc30278 \h </w:instrText>
      </w:r>
      <w:r>
        <w:fldChar w:fldCharType="separate"/>
      </w:r>
      <w:r>
        <w:t>3</w:t>
      </w:r>
      <w:r>
        <w:fldChar w:fldCharType="end"/>
      </w:r>
      <w:r>
        <w:fldChar w:fldCharType="end"/>
      </w:r>
    </w:p>
    <w:p w14:paraId="286F6252">
      <w:pPr>
        <w:pStyle w:val="19"/>
        <w:tabs>
          <w:tab w:val="right" w:leader="dot" w:pos="9354"/>
        </w:tabs>
      </w:pPr>
      <w:r>
        <w:fldChar w:fldCharType="begin"/>
      </w:r>
      <w:r>
        <w:instrText xml:space="preserve"> HYPERLINK \l _Toc17267 </w:instrText>
      </w:r>
      <w:r>
        <w:fldChar w:fldCharType="separate"/>
      </w:r>
      <w:r>
        <w:rPr>
          <w:rFonts w:hint="eastAsia" w:ascii="黑体" w:eastAsia="黑体"/>
          <w:i w:val="0"/>
        </w:rPr>
        <w:t xml:space="preserve">4 </w:t>
      </w:r>
      <w:r>
        <w:rPr>
          <w:rFonts w:hint="eastAsia"/>
        </w:rPr>
        <w:t>产地环境</w:t>
      </w:r>
      <w:r>
        <w:tab/>
      </w:r>
      <w:r>
        <w:fldChar w:fldCharType="begin"/>
      </w:r>
      <w:r>
        <w:instrText xml:space="preserve"> PAGEREF _Toc17267 \h </w:instrText>
      </w:r>
      <w:r>
        <w:fldChar w:fldCharType="separate"/>
      </w:r>
      <w:r>
        <w:t>3</w:t>
      </w:r>
      <w:r>
        <w:fldChar w:fldCharType="end"/>
      </w:r>
      <w:r>
        <w:fldChar w:fldCharType="end"/>
      </w:r>
    </w:p>
    <w:p w14:paraId="6786A1D6">
      <w:pPr>
        <w:pStyle w:val="19"/>
        <w:tabs>
          <w:tab w:val="right" w:leader="dot" w:pos="9354"/>
        </w:tabs>
      </w:pPr>
      <w:r>
        <w:fldChar w:fldCharType="begin"/>
      </w:r>
      <w:r>
        <w:instrText xml:space="preserve"> HYPERLINK \l _Toc25728 </w:instrText>
      </w:r>
      <w:r>
        <w:fldChar w:fldCharType="separate"/>
      </w:r>
      <w:r>
        <w:rPr>
          <w:rFonts w:hint="eastAsia" w:ascii="黑体" w:eastAsia="黑体"/>
          <w:i w:val="0"/>
          <w:lang w:val="en-US" w:eastAsia="zh-CN"/>
        </w:rPr>
        <w:t xml:space="preserve">5 </w:t>
      </w:r>
      <w:r>
        <w:rPr>
          <w:rFonts w:hint="eastAsia"/>
          <w:lang w:val="en-US" w:eastAsia="zh-CN"/>
        </w:rPr>
        <w:t>品种选择</w:t>
      </w:r>
      <w:r>
        <w:tab/>
      </w:r>
      <w:r>
        <w:fldChar w:fldCharType="begin"/>
      </w:r>
      <w:r>
        <w:instrText xml:space="preserve"> PAGEREF _Toc25728 \h </w:instrText>
      </w:r>
      <w:r>
        <w:fldChar w:fldCharType="separate"/>
      </w:r>
      <w:r>
        <w:t>3</w:t>
      </w:r>
      <w:r>
        <w:fldChar w:fldCharType="end"/>
      </w:r>
      <w:r>
        <w:fldChar w:fldCharType="end"/>
      </w:r>
    </w:p>
    <w:p w14:paraId="2BB83052">
      <w:pPr>
        <w:pStyle w:val="19"/>
        <w:tabs>
          <w:tab w:val="right" w:leader="dot" w:pos="9354"/>
        </w:tabs>
      </w:pPr>
      <w:r>
        <w:fldChar w:fldCharType="begin"/>
      </w:r>
      <w:r>
        <w:instrText xml:space="preserve"> HYPERLINK \l _Toc18251 </w:instrText>
      </w:r>
      <w:r>
        <w:fldChar w:fldCharType="separate"/>
      </w:r>
      <w:r>
        <w:rPr>
          <w:rFonts w:hint="eastAsia" w:ascii="黑体" w:eastAsia="黑体"/>
          <w:i w:val="0"/>
        </w:rPr>
        <w:t xml:space="preserve">6 </w:t>
      </w:r>
      <w:r>
        <w:rPr>
          <w:rFonts w:hint="eastAsia"/>
        </w:rPr>
        <w:t>播前准备</w:t>
      </w:r>
      <w:r>
        <w:tab/>
      </w:r>
      <w:r>
        <w:fldChar w:fldCharType="begin"/>
      </w:r>
      <w:r>
        <w:instrText xml:space="preserve"> PAGEREF _Toc18251 \h </w:instrText>
      </w:r>
      <w:r>
        <w:fldChar w:fldCharType="separate"/>
      </w:r>
      <w:r>
        <w:t>3</w:t>
      </w:r>
      <w:r>
        <w:fldChar w:fldCharType="end"/>
      </w:r>
      <w:r>
        <w:fldChar w:fldCharType="end"/>
      </w:r>
    </w:p>
    <w:p w14:paraId="3BDA92D7">
      <w:pPr>
        <w:pStyle w:val="19"/>
        <w:tabs>
          <w:tab w:val="right" w:leader="dot" w:pos="9354"/>
        </w:tabs>
      </w:pPr>
      <w:r>
        <w:fldChar w:fldCharType="begin"/>
      </w:r>
      <w:r>
        <w:instrText xml:space="preserve"> HYPERLINK \l _Toc28160 </w:instrText>
      </w:r>
      <w:r>
        <w:fldChar w:fldCharType="separate"/>
      </w:r>
      <w:r>
        <w:rPr>
          <w:rFonts w:hint="eastAsia" w:ascii="黑体" w:eastAsia="黑体"/>
          <w:i w:val="0"/>
        </w:rPr>
        <w:t xml:space="preserve">7 </w:t>
      </w:r>
      <w:r>
        <w:rPr>
          <w:rFonts w:hint="eastAsia"/>
        </w:rPr>
        <w:t>播种</w:t>
      </w:r>
      <w:r>
        <w:tab/>
      </w:r>
      <w:r>
        <w:fldChar w:fldCharType="begin"/>
      </w:r>
      <w:r>
        <w:instrText xml:space="preserve"> PAGEREF _Toc28160 \h </w:instrText>
      </w:r>
      <w:r>
        <w:fldChar w:fldCharType="separate"/>
      </w:r>
      <w:r>
        <w:t>4</w:t>
      </w:r>
      <w:r>
        <w:fldChar w:fldCharType="end"/>
      </w:r>
      <w:r>
        <w:fldChar w:fldCharType="end"/>
      </w:r>
    </w:p>
    <w:p w14:paraId="6D316D4C">
      <w:pPr>
        <w:pStyle w:val="19"/>
        <w:tabs>
          <w:tab w:val="right" w:leader="dot" w:pos="9354"/>
        </w:tabs>
      </w:pPr>
      <w:r>
        <w:fldChar w:fldCharType="begin"/>
      </w:r>
      <w:r>
        <w:instrText xml:space="preserve"> HYPERLINK \l _Toc27088 </w:instrText>
      </w:r>
      <w:r>
        <w:fldChar w:fldCharType="separate"/>
      </w:r>
      <w:r>
        <w:rPr>
          <w:rFonts w:hint="eastAsia" w:ascii="黑体" w:eastAsia="黑体"/>
          <w:i w:val="0"/>
        </w:rPr>
        <w:t xml:space="preserve">8 </w:t>
      </w:r>
      <w:r>
        <w:rPr>
          <w:rFonts w:hint="eastAsia"/>
        </w:rPr>
        <w:t>田间管理</w:t>
      </w:r>
      <w:r>
        <w:tab/>
      </w:r>
      <w:r>
        <w:fldChar w:fldCharType="begin"/>
      </w:r>
      <w:r>
        <w:instrText xml:space="preserve"> PAGEREF _Toc27088 \h </w:instrText>
      </w:r>
      <w:r>
        <w:fldChar w:fldCharType="separate"/>
      </w:r>
      <w:r>
        <w:t>4</w:t>
      </w:r>
      <w:r>
        <w:fldChar w:fldCharType="end"/>
      </w:r>
      <w:r>
        <w:fldChar w:fldCharType="end"/>
      </w:r>
    </w:p>
    <w:p w14:paraId="1424B407">
      <w:pPr>
        <w:pStyle w:val="19"/>
        <w:tabs>
          <w:tab w:val="right" w:leader="dot" w:pos="9354"/>
        </w:tabs>
      </w:pPr>
      <w:r>
        <w:fldChar w:fldCharType="begin"/>
      </w:r>
      <w:r>
        <w:instrText xml:space="preserve"> HYPERLINK \l _Toc20226 </w:instrText>
      </w:r>
      <w:r>
        <w:fldChar w:fldCharType="separate"/>
      </w:r>
      <w:r>
        <w:rPr>
          <w:rFonts w:hint="eastAsia" w:ascii="黑体" w:eastAsia="黑体"/>
          <w:i w:val="0"/>
        </w:rPr>
        <w:t xml:space="preserve">9 </w:t>
      </w:r>
      <w:r>
        <w:rPr>
          <w:rFonts w:hint="eastAsia"/>
        </w:rPr>
        <w:t>病虫</w:t>
      </w:r>
      <w:r>
        <w:rPr>
          <w:rFonts w:hint="eastAsia"/>
          <w:lang w:val="en-US" w:eastAsia="zh-CN"/>
        </w:rPr>
        <w:t>草</w:t>
      </w:r>
      <w:r>
        <w:rPr>
          <w:rFonts w:hint="eastAsia"/>
        </w:rPr>
        <w:t>害防治</w:t>
      </w:r>
      <w:r>
        <w:tab/>
      </w:r>
      <w:r>
        <w:fldChar w:fldCharType="begin"/>
      </w:r>
      <w:r>
        <w:instrText xml:space="preserve"> PAGEREF _Toc20226 \h </w:instrText>
      </w:r>
      <w:r>
        <w:fldChar w:fldCharType="separate"/>
      </w:r>
      <w:r>
        <w:t>4</w:t>
      </w:r>
      <w:r>
        <w:fldChar w:fldCharType="end"/>
      </w:r>
      <w:r>
        <w:fldChar w:fldCharType="end"/>
      </w:r>
    </w:p>
    <w:p w14:paraId="06811077">
      <w:pPr>
        <w:pStyle w:val="19"/>
        <w:tabs>
          <w:tab w:val="right" w:leader="dot" w:pos="9354"/>
        </w:tabs>
      </w:pPr>
      <w:r>
        <w:fldChar w:fldCharType="begin"/>
      </w:r>
      <w:r>
        <w:instrText xml:space="preserve"> HYPERLINK \l _Toc23607 </w:instrText>
      </w:r>
      <w:r>
        <w:fldChar w:fldCharType="separate"/>
      </w:r>
      <w:r>
        <w:rPr>
          <w:rFonts w:hint="eastAsia" w:ascii="黑体" w:eastAsia="黑体"/>
          <w:i w:val="0"/>
        </w:rPr>
        <w:t xml:space="preserve">10 </w:t>
      </w:r>
      <w:r>
        <w:rPr>
          <w:rFonts w:hint="eastAsia"/>
        </w:rPr>
        <w:t>收获</w:t>
      </w:r>
      <w:r>
        <w:tab/>
      </w:r>
      <w:r>
        <w:fldChar w:fldCharType="begin"/>
      </w:r>
      <w:r>
        <w:instrText xml:space="preserve"> PAGEREF _Toc23607 \h </w:instrText>
      </w:r>
      <w:r>
        <w:fldChar w:fldCharType="separate"/>
      </w:r>
      <w:r>
        <w:t>5</w:t>
      </w:r>
      <w:r>
        <w:fldChar w:fldCharType="end"/>
      </w:r>
      <w:r>
        <w:fldChar w:fldCharType="end"/>
      </w:r>
    </w:p>
    <w:p w14:paraId="7A3437F2">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AAD980F">
      <w:pPr>
        <w:pStyle w:val="89"/>
        <w:spacing w:before="900" w:after="468"/>
      </w:pPr>
      <w:bookmarkStart w:id="23" w:name="_Toc21806"/>
      <w:bookmarkStart w:id="24" w:name="BookMark2"/>
      <w:r>
        <w:rPr>
          <w:spacing w:val="320"/>
        </w:rPr>
        <w:t>前</w:t>
      </w:r>
      <w:r>
        <w:t>言</w:t>
      </w:r>
      <w:bookmarkEnd w:id="22"/>
      <w:bookmarkEnd w:id="23"/>
    </w:p>
    <w:p w14:paraId="521F0D83">
      <w:pPr>
        <w:pStyle w:val="56"/>
        <w:ind w:firstLine="420"/>
      </w:pPr>
      <w:r>
        <w:rPr>
          <w:rFonts w:hint="eastAsia"/>
        </w:rPr>
        <w:t>本文件按照GB/T 1.1—2020《标准化工作导则  第1部分：标准化文件的结构和起草规则》的规定起草。</w:t>
      </w:r>
    </w:p>
    <w:p w14:paraId="22DA5D7C">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本文件由山西省农业农村厅提出、组织实施和监督检查。</w:t>
      </w:r>
    </w:p>
    <w:p w14:paraId="068CC23F">
      <w:pPr>
        <w:widowControl/>
        <w:autoSpaceDE w:val="0"/>
        <w:autoSpaceDN w:val="0"/>
        <w:adjustRightInd/>
        <w:spacing w:line="240" w:lineRule="auto"/>
        <w:ind w:firstLine="420" w:firstLineChars="200"/>
        <w:rPr>
          <w:rFonts w:ascii="宋体" w:hAnsi="Times New Roman"/>
          <w:kern w:val="0"/>
        </w:rPr>
      </w:pPr>
      <w:r>
        <w:rPr>
          <w:rFonts w:hint="eastAsia" w:ascii="宋体" w:hAnsi="宋体"/>
          <w:kern w:val="0"/>
        </w:rPr>
        <w:t>本文件由山西省市场监督管理局对标准的组织实施情况进行监督检查。</w:t>
      </w:r>
    </w:p>
    <w:p w14:paraId="1461EC89">
      <w:pPr>
        <w:pStyle w:val="56"/>
        <w:ind w:firstLine="420"/>
      </w:pPr>
      <w:r>
        <w:rPr>
          <w:rFonts w:hint="eastAsia"/>
        </w:rPr>
        <w:t>本文件由山西省农业农村标准化技术委员会(SXS/TC 19)归口。</w:t>
      </w:r>
    </w:p>
    <w:p w14:paraId="727E3EA2">
      <w:pPr>
        <w:pStyle w:val="56"/>
        <w:ind w:firstLine="420"/>
      </w:pPr>
      <w:r>
        <w:rPr>
          <w:rFonts w:hint="eastAsia"/>
        </w:rPr>
        <w:t>本文件起草单位：山西农业大学、山西省农产品质量安全中心。</w:t>
      </w:r>
    </w:p>
    <w:p w14:paraId="2CFCAC1C">
      <w:pPr>
        <w:pStyle w:val="56"/>
        <w:ind w:firstLine="420"/>
      </w:pPr>
      <w:r>
        <w:rPr>
          <w:rFonts w:hint="eastAsia"/>
        </w:rPr>
        <w:t>本文件主要起草人：卢成达、李阳、张丽娜、田峻屹、郭郁、牛学谦、孙迪、郭志利、原向阳、周怀平、杨振兴、侯雅静。</w:t>
      </w:r>
    </w:p>
    <w:p w14:paraId="794ACE57">
      <w:pPr>
        <w:pStyle w:val="56"/>
        <w:ind w:firstLine="420"/>
      </w:pPr>
    </w:p>
    <w:p w14:paraId="06E84068">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03A76002">
      <w:pPr>
        <w:spacing w:line="20" w:lineRule="exact"/>
        <w:jc w:val="center"/>
        <w:rPr>
          <w:rFonts w:hint="eastAsia" w:ascii="黑体" w:hAnsi="黑体" w:eastAsia="黑体"/>
          <w:sz w:val="32"/>
          <w:szCs w:val="32"/>
        </w:rPr>
      </w:pPr>
      <w:bookmarkStart w:id="25" w:name="BookMark4"/>
    </w:p>
    <w:p w14:paraId="2D743B11">
      <w:pPr>
        <w:spacing w:line="20" w:lineRule="exact"/>
        <w:jc w:val="center"/>
        <w:rPr>
          <w:rFonts w:hint="eastAsia" w:ascii="黑体" w:hAnsi="黑体" w:eastAsia="黑体"/>
          <w:sz w:val="32"/>
          <w:szCs w:val="32"/>
        </w:rPr>
      </w:pPr>
    </w:p>
    <w:sdt>
      <w:sdtPr>
        <w:tag w:val="NEW_STAND_NAME"/>
        <w:id w:val="595910757"/>
        <w:lock w:val="sdtLocked"/>
        <w:placeholder>
          <w:docPart w:val="B8430AAE4CC04823BC370E7FACF05819"/>
        </w:placeholder>
      </w:sdtPr>
      <w:sdtContent>
        <w:p w14:paraId="50EED9D3">
          <w:pPr>
            <w:pStyle w:val="177"/>
            <w:spacing w:before="3" w:beforeLines="1" w:after="686" w:afterLines="220"/>
            <w:rPr>
              <w:rFonts w:hint="eastAsia"/>
            </w:rPr>
          </w:pPr>
          <w:bookmarkStart w:id="26" w:name="NEW_STAND_NAME"/>
          <w:r>
            <w:rPr>
              <w:rFonts w:hint="eastAsia"/>
            </w:rPr>
            <w:t>旱地谷豆条带</w:t>
          </w:r>
          <w:r>
            <w:rPr>
              <w:rFonts w:hint="eastAsia"/>
              <w:lang w:val="en-US" w:eastAsia="zh-CN"/>
            </w:rPr>
            <w:t>种植</w:t>
          </w:r>
          <w:r>
            <w:rPr>
              <w:rFonts w:hint="eastAsia"/>
            </w:rPr>
            <w:t>技术规程</w:t>
          </w:r>
        </w:p>
      </w:sdtContent>
    </w:sdt>
    <w:bookmarkEnd w:id="26"/>
    <w:p w14:paraId="1F026934">
      <w:pPr>
        <w:pStyle w:val="104"/>
        <w:spacing w:before="312" w:after="312"/>
      </w:pPr>
      <w:bookmarkStart w:id="27" w:name="_Toc26986771"/>
      <w:bookmarkStart w:id="28" w:name="_Toc2589"/>
      <w:bookmarkStart w:id="29" w:name="_Toc180078827"/>
      <w:bookmarkStart w:id="30" w:name="_Toc26718930"/>
      <w:bookmarkStart w:id="31" w:name="_Toc97191423"/>
      <w:bookmarkStart w:id="32" w:name="_Toc17233325"/>
      <w:bookmarkStart w:id="33" w:name="_Toc26986530"/>
      <w:bookmarkStart w:id="34" w:name="_Toc17233333"/>
      <w:bookmarkStart w:id="35" w:name="_Toc24884211"/>
      <w:bookmarkStart w:id="36" w:name="_Toc24884218"/>
      <w:bookmarkStart w:id="37" w:name="_Toc26648465"/>
      <w:r>
        <w:rPr>
          <w:rFonts w:hint="eastAsia"/>
        </w:rPr>
        <w:t>范围</w:t>
      </w:r>
      <w:bookmarkEnd w:id="27"/>
      <w:bookmarkEnd w:id="28"/>
      <w:bookmarkEnd w:id="29"/>
      <w:bookmarkEnd w:id="30"/>
      <w:bookmarkEnd w:id="31"/>
      <w:bookmarkEnd w:id="32"/>
      <w:bookmarkEnd w:id="33"/>
      <w:bookmarkEnd w:id="34"/>
      <w:bookmarkEnd w:id="35"/>
      <w:bookmarkEnd w:id="36"/>
      <w:bookmarkEnd w:id="37"/>
    </w:p>
    <w:p w14:paraId="3CB771AC">
      <w:pPr>
        <w:pStyle w:val="56"/>
        <w:ind w:firstLine="420"/>
      </w:pPr>
      <w:bookmarkStart w:id="38" w:name="_Toc24884212"/>
      <w:bookmarkStart w:id="39" w:name="_Toc17233326"/>
      <w:bookmarkStart w:id="40" w:name="_Toc17233334"/>
      <w:bookmarkStart w:id="41" w:name="_Toc26648466"/>
      <w:bookmarkStart w:id="42" w:name="_Toc24884219"/>
      <w:r>
        <w:rPr>
          <w:rFonts w:hint="eastAsia"/>
        </w:rPr>
        <w:t>本文件规定了旱地谷豆条带</w:t>
      </w:r>
      <w:r>
        <w:rPr>
          <w:rFonts w:hint="eastAsia"/>
          <w:lang w:val="en-US" w:eastAsia="zh-CN"/>
        </w:rPr>
        <w:t>种植</w:t>
      </w:r>
      <w:r>
        <w:rPr>
          <w:rFonts w:hint="eastAsia"/>
        </w:rPr>
        <w:t>的产地环境、</w:t>
      </w:r>
      <w:r>
        <w:rPr>
          <w:rFonts w:hint="eastAsia"/>
          <w:lang w:val="en-US" w:eastAsia="zh-CN"/>
        </w:rPr>
        <w:t>品种选择</w:t>
      </w:r>
      <w:r>
        <w:rPr>
          <w:rFonts w:hint="eastAsia"/>
        </w:rPr>
        <w:t>、</w:t>
      </w:r>
      <w:r>
        <w:rPr>
          <w:rFonts w:hint="eastAsia"/>
          <w:lang w:val="en-US" w:eastAsia="zh-CN"/>
        </w:rPr>
        <w:t>播前准备、</w:t>
      </w:r>
      <w:r>
        <w:rPr>
          <w:rFonts w:hint="eastAsia"/>
        </w:rPr>
        <w:t>播种、田间管理、</w:t>
      </w:r>
      <w:r>
        <w:rPr>
          <w:rFonts w:hint="eastAsia"/>
          <w:lang w:val="en-US" w:eastAsia="zh-CN"/>
        </w:rPr>
        <w:t>病虫草害防治、</w:t>
      </w:r>
      <w:r>
        <w:rPr>
          <w:rFonts w:hint="eastAsia"/>
        </w:rPr>
        <w:t>收获等。</w:t>
      </w:r>
    </w:p>
    <w:p w14:paraId="7D86DADA">
      <w:pPr>
        <w:pStyle w:val="56"/>
        <w:ind w:firstLine="420"/>
      </w:pPr>
      <w:r>
        <w:rPr>
          <w:rFonts w:hint="eastAsia"/>
        </w:rPr>
        <w:t>本文件适用于谷豆条带复合种植。</w:t>
      </w:r>
    </w:p>
    <w:p w14:paraId="45F05A7D">
      <w:pPr>
        <w:pStyle w:val="104"/>
        <w:spacing w:before="312" w:after="312"/>
      </w:pPr>
      <w:bookmarkStart w:id="43" w:name="_Toc180078828"/>
      <w:bookmarkStart w:id="44" w:name="_Toc97191424"/>
      <w:bookmarkStart w:id="45" w:name="_Toc26986531"/>
      <w:bookmarkStart w:id="46" w:name="_Toc26718931"/>
      <w:bookmarkStart w:id="47" w:name="_Toc26986772"/>
      <w:bookmarkStart w:id="48" w:name="_Toc15563"/>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5AFAB50303049B381E08CE05CC5AB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21E0CD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44E86E">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ascii="Times New Roman" w:hAnsi="Times New Roman"/>
          <w:color w:val="000000"/>
          <w:kern w:val="0"/>
        </w:rPr>
      </w:pPr>
      <w:r>
        <w:rPr>
          <w:rFonts w:ascii="Times New Roman" w:hAnsi="Times New Roman"/>
          <w:color w:val="000000"/>
          <w:kern w:val="0"/>
        </w:rPr>
        <w:t>GB 4404.1</w:t>
      </w:r>
      <w:r>
        <w:rPr>
          <w:rFonts w:hint="eastAsia" w:ascii="Times New Roman" w:hAnsi="Times New Roman"/>
          <w:color w:val="000000"/>
          <w:kern w:val="0"/>
          <w:lang w:val="en-US" w:eastAsia="zh-CN"/>
        </w:rPr>
        <w:t xml:space="preserve">  </w:t>
      </w:r>
      <w:r>
        <w:rPr>
          <w:rFonts w:ascii="宋体" w:hAnsi="宋体"/>
          <w:color w:val="000000"/>
          <w:kern w:val="0"/>
        </w:rPr>
        <w:t>粮食作物种子 第</w:t>
      </w:r>
      <w:r>
        <w:rPr>
          <w:rFonts w:ascii="Times New Roman" w:hAnsi="Times New Roman"/>
          <w:color w:val="000000"/>
          <w:kern w:val="0"/>
        </w:rPr>
        <w:t>1</w:t>
      </w:r>
      <w:r>
        <w:rPr>
          <w:rFonts w:ascii="宋体" w:hAnsi="宋体"/>
          <w:color w:val="000000"/>
          <w:kern w:val="0"/>
        </w:rPr>
        <w:t>部分：禾谷类</w:t>
      </w:r>
    </w:p>
    <w:p w14:paraId="73AE7F64">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ascii="Times New Roman" w:hAnsi="Times New Roman"/>
          <w:color w:val="000000"/>
          <w:kern w:val="0"/>
        </w:rPr>
      </w:pPr>
      <w:r>
        <w:rPr>
          <w:rFonts w:ascii="Times New Roman" w:hAnsi="Times New Roman"/>
          <w:color w:val="000000"/>
          <w:kern w:val="0"/>
        </w:rPr>
        <w:t>GB 4404.2</w:t>
      </w:r>
      <w:r>
        <w:rPr>
          <w:rFonts w:hint="eastAsia" w:ascii="Times New Roman" w:hAnsi="Times New Roman"/>
          <w:color w:val="000000"/>
          <w:kern w:val="0"/>
          <w:lang w:val="en-US" w:eastAsia="zh-CN"/>
        </w:rPr>
        <w:t xml:space="preserve">  </w:t>
      </w:r>
      <w:r>
        <w:rPr>
          <w:rFonts w:ascii="宋体" w:hAnsi="宋体"/>
          <w:color w:val="000000"/>
          <w:kern w:val="0"/>
        </w:rPr>
        <w:t>粮食作物种子 第</w:t>
      </w:r>
      <w:r>
        <w:rPr>
          <w:rFonts w:hint="eastAsia" w:ascii="Times New Roman" w:hAnsi="Times New Roman"/>
          <w:color w:val="000000"/>
          <w:kern w:val="0"/>
          <w:lang w:val="en-US" w:eastAsia="zh-CN"/>
        </w:rPr>
        <w:t>2</w:t>
      </w:r>
      <w:r>
        <w:rPr>
          <w:rFonts w:ascii="宋体" w:hAnsi="宋体"/>
          <w:color w:val="000000"/>
          <w:kern w:val="0"/>
        </w:rPr>
        <w:t>部分：豆类</w:t>
      </w:r>
    </w:p>
    <w:p w14:paraId="6D5E3A47">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eastAsia="宋体"/>
          <w:color w:val="000000"/>
          <w:kern w:val="0"/>
          <w:lang w:eastAsia="zh-CN"/>
        </w:rPr>
      </w:pPr>
      <w:r>
        <w:rPr>
          <w:rFonts w:ascii="Times New Roman" w:hAnsi="Times New Roman"/>
          <w:color w:val="000000"/>
          <w:kern w:val="0"/>
        </w:rPr>
        <w:t xml:space="preserve">GB/T </w:t>
      </w:r>
      <w:r>
        <w:rPr>
          <w:rFonts w:hint="eastAsia" w:ascii="Times New Roman" w:hAnsi="Times New Roman"/>
          <w:color w:val="000000"/>
          <w:kern w:val="0"/>
          <w:lang w:val="en-US" w:eastAsia="zh-CN"/>
        </w:rPr>
        <w:t>5668  旋耕机</w:t>
      </w:r>
    </w:p>
    <w:p w14:paraId="181D985C">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ascii="宋体" w:hAnsi="宋体"/>
          <w:color w:val="000000"/>
          <w:kern w:val="0"/>
        </w:rPr>
      </w:pPr>
      <w:r>
        <w:rPr>
          <w:rFonts w:ascii="Times New Roman" w:hAnsi="Times New Roman"/>
          <w:color w:val="000000"/>
          <w:kern w:val="0"/>
        </w:rPr>
        <w:t>GB/T 8321</w:t>
      </w:r>
      <w:r>
        <w:rPr>
          <w:rFonts w:hint="eastAsia" w:ascii="Times New Roman" w:hAnsi="Times New Roman"/>
          <w:color w:val="000000"/>
          <w:kern w:val="0"/>
          <w:lang w:eastAsia="zh-CN"/>
        </w:rPr>
        <w:t>（</w:t>
      </w:r>
      <w:r>
        <w:rPr>
          <w:rFonts w:ascii="宋体" w:hAnsi="宋体"/>
          <w:color w:val="000000"/>
          <w:kern w:val="0"/>
        </w:rPr>
        <w:t>所有部分</w:t>
      </w:r>
      <w:r>
        <w:rPr>
          <w:rFonts w:hint="eastAsia" w:ascii="Times New Roman" w:hAnsi="Times New Roman"/>
          <w:color w:val="000000"/>
          <w:kern w:val="0"/>
          <w:lang w:eastAsia="zh-CN"/>
        </w:rPr>
        <w:t>）</w:t>
      </w:r>
      <w:r>
        <w:rPr>
          <w:rFonts w:ascii="宋体" w:hAnsi="宋体"/>
          <w:color w:val="000000"/>
          <w:kern w:val="0"/>
        </w:rPr>
        <w:t xml:space="preserve"> 农药合理使用准则</w:t>
      </w:r>
    </w:p>
    <w:p w14:paraId="65FB683B">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default" w:ascii="Times New Roman" w:hAnsi="Times New Roman" w:eastAsia="宋体"/>
          <w:color w:val="000000"/>
          <w:kern w:val="0"/>
          <w:lang w:val="en-US" w:eastAsia="zh-CN"/>
        </w:rPr>
      </w:pPr>
      <w:r>
        <w:rPr>
          <w:rFonts w:ascii="Times New Roman" w:hAnsi="Times New Roman"/>
          <w:color w:val="000000"/>
          <w:kern w:val="0"/>
        </w:rPr>
        <w:t>NY/T 496</w:t>
      </w:r>
      <w:r>
        <w:rPr>
          <w:rFonts w:hint="eastAsia" w:ascii="Times New Roman" w:hAnsi="Times New Roman"/>
          <w:color w:val="000000"/>
          <w:kern w:val="0"/>
          <w:lang w:val="en-US" w:eastAsia="zh-CN"/>
        </w:rPr>
        <w:t xml:space="preserve">  </w:t>
      </w:r>
      <w:r>
        <w:rPr>
          <w:rFonts w:ascii="宋体" w:hAnsi="宋体"/>
          <w:color w:val="000000"/>
          <w:kern w:val="0"/>
        </w:rPr>
        <w:t>肥料合理使用准则</w:t>
      </w:r>
      <w:r>
        <w:rPr>
          <w:rFonts w:hint="eastAsia" w:ascii="宋体" w:hAnsi="宋体"/>
          <w:color w:val="000000"/>
          <w:kern w:val="0"/>
          <w:lang w:val="en-US" w:eastAsia="zh-CN"/>
        </w:rPr>
        <w:t xml:space="preserve"> </w:t>
      </w:r>
      <w:r>
        <w:rPr>
          <w:rFonts w:hint="eastAsia" w:ascii="宋体" w:hAnsi="宋体"/>
          <w:color w:val="000000"/>
          <w:kern w:val="0"/>
          <w:highlight w:val="none"/>
          <w:lang w:val="en-US" w:eastAsia="zh-CN"/>
        </w:rPr>
        <w:t>通则</w:t>
      </w:r>
    </w:p>
    <w:p w14:paraId="1A3D683C">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default" w:ascii="Times New Roman" w:hAnsi="Times New Roman"/>
          <w:color w:val="000000"/>
          <w:kern w:val="0"/>
          <w:lang w:val="en-US" w:eastAsia="zh-CN"/>
        </w:rPr>
      </w:pPr>
      <w:r>
        <w:rPr>
          <w:rFonts w:ascii="Times New Roman" w:hAnsi="Times New Roman"/>
          <w:color w:val="000000"/>
          <w:kern w:val="0"/>
        </w:rPr>
        <w:t>NY/T 49</w:t>
      </w:r>
      <w:r>
        <w:rPr>
          <w:rFonts w:hint="eastAsia" w:ascii="Times New Roman" w:hAnsi="Times New Roman"/>
          <w:color w:val="000000"/>
          <w:kern w:val="0"/>
          <w:lang w:val="en-US" w:eastAsia="zh-CN"/>
        </w:rPr>
        <w:t>9  旋耕机 作业质量</w:t>
      </w:r>
    </w:p>
    <w:p w14:paraId="31D1B300">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olor w:val="000000"/>
          <w:kern w:val="0"/>
          <w:lang w:val="en-US" w:eastAsia="zh-CN"/>
        </w:rPr>
      </w:pPr>
      <w:r>
        <w:rPr>
          <w:rFonts w:ascii="Times New Roman" w:hAnsi="Times New Roman"/>
          <w:color w:val="000000"/>
          <w:kern w:val="0"/>
        </w:rPr>
        <w:t xml:space="preserve">NY/T </w:t>
      </w:r>
      <w:r>
        <w:rPr>
          <w:rFonts w:hint="eastAsia" w:ascii="Times New Roman" w:hAnsi="Times New Roman"/>
          <w:color w:val="000000"/>
          <w:kern w:val="0"/>
          <w:lang w:val="en-US" w:eastAsia="zh-CN"/>
        </w:rPr>
        <w:t xml:space="preserve">1229  </w:t>
      </w:r>
      <w:r>
        <w:rPr>
          <w:rFonts w:hint="eastAsia" w:ascii="宋体" w:hAnsi="宋体"/>
          <w:color w:val="000000"/>
          <w:kern w:val="0"/>
          <w:lang w:val="en-US" w:eastAsia="zh-CN"/>
        </w:rPr>
        <w:t>旋耕施肥播种联合作业机 作业质量</w:t>
      </w:r>
    </w:p>
    <w:p w14:paraId="008B4F4B">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olor w:val="000000"/>
          <w:kern w:val="0"/>
          <w:lang w:val="en-US" w:eastAsia="zh-CN"/>
        </w:rPr>
      </w:pPr>
      <w:r>
        <w:rPr>
          <w:rFonts w:ascii="Times New Roman" w:hAnsi="Times New Roman"/>
          <w:color w:val="000000"/>
          <w:kern w:val="0"/>
        </w:rPr>
        <w:t xml:space="preserve">NY/T </w:t>
      </w:r>
      <w:r>
        <w:rPr>
          <w:rFonts w:hint="eastAsia" w:ascii="Times New Roman" w:hAnsi="Times New Roman"/>
          <w:color w:val="000000"/>
          <w:kern w:val="0"/>
          <w:lang w:val="en-US" w:eastAsia="zh-CN"/>
        </w:rPr>
        <w:t xml:space="preserve">1276  </w:t>
      </w:r>
      <w:r>
        <w:rPr>
          <w:rFonts w:hint="eastAsia" w:ascii="宋体" w:hAnsi="宋体"/>
          <w:color w:val="000000"/>
          <w:kern w:val="0"/>
          <w:lang w:val="en-US" w:eastAsia="zh-CN"/>
        </w:rPr>
        <w:t>农药安全使用规范 总则</w:t>
      </w:r>
    </w:p>
    <w:p w14:paraId="1697535E">
      <w:pPr>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default" w:ascii="Times New Roman" w:hAnsi="Times New Roman"/>
          <w:color w:val="000000"/>
          <w:kern w:val="0"/>
          <w:lang w:val="en-US" w:eastAsia="zh-CN"/>
        </w:rPr>
      </w:pPr>
      <w:r>
        <w:rPr>
          <w:rFonts w:hint="default" w:ascii="Times New Roman" w:hAnsi="Times New Roman"/>
          <w:color w:val="000000"/>
          <w:kern w:val="0"/>
          <w:lang w:val="en-US" w:eastAsia="zh-CN"/>
        </w:rPr>
        <w:t xml:space="preserve">NY/T 1997 </w:t>
      </w:r>
      <w:r>
        <w:rPr>
          <w:rFonts w:hint="eastAsia" w:ascii="Times New Roman" w:hAnsi="Times New Roman"/>
          <w:color w:val="000000"/>
          <w:kern w:val="0"/>
          <w:lang w:val="en-US" w:eastAsia="zh-CN"/>
        </w:rPr>
        <w:t xml:space="preserve"> </w:t>
      </w:r>
      <w:r>
        <w:rPr>
          <w:rFonts w:hint="default" w:ascii="Times New Roman" w:hAnsi="Times New Roman"/>
          <w:color w:val="000000"/>
          <w:kern w:val="0"/>
          <w:lang w:val="en-US" w:eastAsia="zh-CN"/>
        </w:rPr>
        <w:t>除草剂安全使用技术规范</w:t>
      </w:r>
      <w:r>
        <w:rPr>
          <w:rFonts w:hint="eastAsia" w:ascii="Times New Roman" w:hAnsi="Times New Roman"/>
          <w:color w:val="000000"/>
          <w:kern w:val="0"/>
          <w:lang w:val="en-US" w:eastAsia="zh-CN"/>
        </w:rPr>
        <w:t xml:space="preserve"> </w:t>
      </w:r>
      <w:r>
        <w:rPr>
          <w:rFonts w:hint="default" w:ascii="Times New Roman" w:hAnsi="Times New Roman"/>
          <w:color w:val="000000"/>
          <w:kern w:val="0"/>
          <w:lang w:val="en-US" w:eastAsia="zh-CN"/>
        </w:rPr>
        <w:t>通则</w:t>
      </w:r>
    </w:p>
    <w:p w14:paraId="74469353">
      <w:pPr>
        <w:pStyle w:val="104"/>
        <w:spacing w:before="312" w:after="312"/>
      </w:pPr>
      <w:bookmarkStart w:id="49" w:name="_Toc30278"/>
      <w:bookmarkStart w:id="50" w:name="_Toc97191425"/>
      <w:bookmarkStart w:id="51" w:name="_Toc180078829"/>
      <w:r>
        <w:rPr>
          <w:rFonts w:hint="eastAsia"/>
          <w:szCs w:val="21"/>
        </w:rPr>
        <w:t>术语和定义</w:t>
      </w:r>
      <w:bookmarkEnd w:id="49"/>
      <w:bookmarkEnd w:id="50"/>
      <w:bookmarkEnd w:id="51"/>
    </w:p>
    <w:sdt>
      <w:sdtPr>
        <w:id w:val="-1909835108"/>
        <w:placeholder>
          <w:docPart w:val="7E78F6EE8DBD4E1082BA27A7628679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D5CCCC">
          <w:pPr>
            <w:pStyle w:val="56"/>
            <w:ind w:firstLine="420"/>
          </w:pPr>
          <w:bookmarkStart w:id="52" w:name="_Toc26986532"/>
          <w:bookmarkEnd w:id="52"/>
          <w:r>
            <w:t>本文件没有需要界定的术语和定义。</w:t>
          </w:r>
        </w:p>
      </w:sdtContent>
    </w:sdt>
    <w:p w14:paraId="28BBB3B3">
      <w:pPr>
        <w:pStyle w:val="104"/>
        <w:spacing w:before="312" w:after="312"/>
      </w:pPr>
      <w:bookmarkStart w:id="53" w:name="_Toc17267"/>
      <w:bookmarkStart w:id="54" w:name="_Toc180078830"/>
      <w:r>
        <w:rPr>
          <w:rFonts w:hint="eastAsia"/>
        </w:rPr>
        <w:t>产地环境</w:t>
      </w:r>
      <w:bookmarkEnd w:id="53"/>
      <w:bookmarkEnd w:id="54"/>
    </w:p>
    <w:p w14:paraId="3A828BBE">
      <w:pPr>
        <w:pStyle w:val="56"/>
        <w:ind w:firstLine="420"/>
        <w:rPr>
          <w:rFonts w:hint="eastAsia"/>
          <w:lang w:val="en-US" w:eastAsia="zh-CN"/>
        </w:rPr>
      </w:pPr>
      <w:r>
        <w:rPr>
          <w:rFonts w:hint="eastAsia"/>
          <w:lang w:val="en-US" w:eastAsia="zh-CN"/>
        </w:rPr>
        <w:t>选择年平均降水量400 mm以上、无霜期120 d以上的区域。土壤耕层疏松深厚、土质肥沃、周围无污染源，具有较好的排水、保水性能。</w:t>
      </w:r>
    </w:p>
    <w:p w14:paraId="47FE9FE1">
      <w:pPr>
        <w:pStyle w:val="104"/>
        <w:spacing w:before="312" w:after="312"/>
        <w:rPr>
          <w:rFonts w:hint="eastAsia"/>
          <w:lang w:val="en-US" w:eastAsia="zh-CN"/>
        </w:rPr>
      </w:pPr>
      <w:bookmarkStart w:id="55" w:name="_Toc25728"/>
      <w:r>
        <w:rPr>
          <w:rFonts w:hint="eastAsia"/>
          <w:lang w:val="en-US" w:eastAsia="zh-CN"/>
        </w:rPr>
        <w:t>品种选择</w:t>
      </w:r>
      <w:bookmarkEnd w:id="55"/>
    </w:p>
    <w:p w14:paraId="1766DA84">
      <w:pPr>
        <w:pStyle w:val="56"/>
        <w:ind w:firstLine="420"/>
      </w:pPr>
      <w:r>
        <w:rPr>
          <w:rFonts w:hint="eastAsia"/>
          <w:color w:val="auto"/>
          <w:lang w:val="en-US" w:eastAsia="zh-CN"/>
        </w:rPr>
        <w:t>谷子选用株型紧凑、耐密抗倒、抗旱性强、宜机收的高产品种</w:t>
      </w:r>
      <w:r>
        <w:rPr>
          <w:rFonts w:hint="eastAsia"/>
          <w:color w:val="auto"/>
          <w:lang w:eastAsia="zh-CN"/>
        </w:rPr>
        <w:t>；</w:t>
      </w:r>
      <w:r>
        <w:rPr>
          <w:rFonts w:hint="eastAsia"/>
        </w:rPr>
        <w:t>大豆</w:t>
      </w:r>
      <w:r>
        <w:rPr>
          <w:rFonts w:hint="eastAsia"/>
          <w:lang w:val="en-US" w:eastAsia="zh-CN"/>
        </w:rPr>
        <w:t>选用早熟、高荚位、耐阴、抗倒、宜机收品种</w:t>
      </w:r>
      <w:r>
        <w:rPr>
          <w:rFonts w:hint="eastAsia"/>
        </w:rPr>
        <w:t>。</w:t>
      </w:r>
    </w:p>
    <w:p w14:paraId="6A587ED4">
      <w:pPr>
        <w:pStyle w:val="104"/>
        <w:spacing w:before="312" w:after="312"/>
      </w:pPr>
      <w:bookmarkStart w:id="56" w:name="_Toc18251"/>
      <w:bookmarkStart w:id="57" w:name="_Toc180078831"/>
      <w:r>
        <w:rPr>
          <w:rFonts w:hint="eastAsia"/>
        </w:rPr>
        <w:t>播前准备</w:t>
      </w:r>
      <w:bookmarkEnd w:id="56"/>
      <w:bookmarkEnd w:id="57"/>
    </w:p>
    <w:p w14:paraId="54E7EB31">
      <w:pPr>
        <w:pStyle w:val="105"/>
        <w:spacing w:before="156" w:after="156"/>
      </w:pPr>
      <w:bookmarkStart w:id="58" w:name="_Toc180078833"/>
      <w:r>
        <w:rPr>
          <w:rFonts w:hint="eastAsia"/>
        </w:rPr>
        <w:t>整地</w:t>
      </w:r>
      <w:bookmarkEnd w:id="58"/>
    </w:p>
    <w:p w14:paraId="1333A993">
      <w:pPr>
        <w:pStyle w:val="56"/>
        <w:ind w:firstLine="420"/>
        <w:rPr>
          <w:rFonts w:hint="default" w:ascii="Times New Roman" w:hAnsi="Times New Roman" w:cs="Times New Roman"/>
          <w:lang w:val="en-US" w:eastAsia="zh-CN"/>
        </w:rPr>
      </w:pPr>
      <w:r>
        <w:rPr>
          <w:rFonts w:hint="default"/>
          <w:color w:val="000000" w:themeColor="text1"/>
          <w:lang w:val="en-US" w:eastAsia="zh-CN"/>
          <w14:textFill>
            <w14:solidFill>
              <w14:schemeClr w14:val="tx1"/>
            </w14:solidFill>
          </w14:textFill>
        </w:rPr>
        <w:t>前茬作物收获后</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开展深耕或深松作业，耕深25</w:t>
      </w:r>
      <w:r>
        <w:rPr>
          <w:rFonts w:hint="eastAsia"/>
          <w:color w:val="000000" w:themeColor="text1"/>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cm以上。播种前进行旋耕作业，旋耕深度15 cm</w:t>
      </w:r>
      <w:r>
        <w:rPr>
          <w:rFonts w:hint="eastAsia"/>
          <w:color w:val="000000" w:themeColor="text1"/>
          <w:lang w:val="en-US" w:eastAsia="zh-CN"/>
          <w14:textFill>
            <w14:solidFill>
              <w14:schemeClr w14:val="tx1"/>
            </w14:solidFill>
          </w14:textFill>
        </w:rPr>
        <w:t>左右</w:t>
      </w:r>
      <w:r>
        <w:rPr>
          <w:rFonts w:hint="default"/>
          <w:color w:val="000000" w:themeColor="text1"/>
          <w:lang w:val="en-US" w:eastAsia="zh-CN"/>
          <w14:textFill>
            <w14:solidFill>
              <w14:schemeClr w14:val="tx1"/>
            </w14:solidFill>
          </w14:textFill>
        </w:rPr>
        <w:t>。作业机械和作业质量应符合GB/T 5668、NY/T 499的规定</w:t>
      </w:r>
      <w:r>
        <w:rPr>
          <w:rFonts w:hint="default" w:ascii="Times New Roman" w:hAnsi="Times New Roman" w:cs="Times New Roman"/>
          <w:lang w:val="en-US" w:eastAsia="zh-CN"/>
        </w:rPr>
        <w:t>。</w:t>
      </w:r>
    </w:p>
    <w:p w14:paraId="41CFD91E">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精选种子</w:t>
      </w:r>
    </w:p>
    <w:p w14:paraId="76B17850">
      <w:pPr>
        <w:pStyle w:val="56"/>
        <w:ind w:firstLine="42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谷子</w:t>
      </w:r>
      <w:r>
        <w:rPr>
          <w:rFonts w:hint="eastAsia"/>
          <w:color w:val="000000" w:themeColor="text1"/>
          <w14:textFill>
            <w14:solidFill>
              <w14:schemeClr w14:val="tx1"/>
            </w14:solidFill>
          </w14:textFill>
        </w:rPr>
        <w:t>种子质量符合GB 4404.1</w:t>
      </w:r>
      <w:r>
        <w:rPr>
          <w:rFonts w:hint="eastAsia"/>
          <w:color w:val="000000" w:themeColor="text1"/>
          <w:lang w:val="en-US" w:eastAsia="zh-CN"/>
          <w14:textFill>
            <w14:solidFill>
              <w14:schemeClr w14:val="tx1"/>
            </w14:solidFill>
          </w14:textFill>
        </w:rPr>
        <w:t>的规定</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大豆种子质量符合</w:t>
      </w:r>
      <w:r>
        <w:rPr>
          <w:rFonts w:hint="eastAsia"/>
          <w:color w:val="000000" w:themeColor="text1"/>
          <w14:textFill>
            <w14:solidFill>
              <w14:schemeClr w14:val="tx1"/>
            </w14:solidFill>
          </w14:textFill>
        </w:rPr>
        <w:t>GB 4404.</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的规定。</w:t>
      </w:r>
    </w:p>
    <w:p w14:paraId="2AA0974E">
      <w:pPr>
        <w:pStyle w:val="105"/>
        <w:spacing w:before="156" w:after="156"/>
        <w:rPr>
          <w:rFonts w:hint="eastAsia"/>
          <w:lang w:val="en-US" w:eastAsia="zh-CN"/>
        </w:rPr>
      </w:pPr>
      <w:r>
        <w:rPr>
          <w:rFonts w:hint="eastAsia"/>
          <w:lang w:val="en-US" w:eastAsia="zh-CN"/>
        </w:rPr>
        <w:t>种子处理</w:t>
      </w:r>
    </w:p>
    <w:p w14:paraId="1C76BE4C">
      <w:pPr>
        <w:pStyle w:val="56"/>
        <w:ind w:firstLine="420"/>
      </w:pPr>
      <w:r>
        <w:rPr>
          <w:rFonts w:hint="eastAsia"/>
          <w:lang w:val="en-US" w:eastAsia="zh-CN"/>
        </w:rPr>
        <w:t>播种前，进行种子拌种，防治土传病害和地下害虫。</w:t>
      </w:r>
      <w:r>
        <w:rPr>
          <w:rFonts w:hint="eastAsia"/>
        </w:rPr>
        <w:t>药剂使用符合GB/T 8321的规定。</w:t>
      </w:r>
    </w:p>
    <w:p w14:paraId="3DE5C7C0">
      <w:pPr>
        <w:pStyle w:val="104"/>
        <w:spacing w:before="312" w:after="312"/>
      </w:pPr>
      <w:bookmarkStart w:id="59" w:name="_Toc28160"/>
      <w:bookmarkStart w:id="60" w:name="_Toc180078836"/>
      <w:r>
        <w:rPr>
          <w:rFonts w:hint="eastAsia"/>
        </w:rPr>
        <w:t>播种</w:t>
      </w:r>
      <w:bookmarkEnd w:id="59"/>
      <w:bookmarkEnd w:id="60"/>
    </w:p>
    <w:p w14:paraId="4BB8166B">
      <w:pPr>
        <w:pStyle w:val="105"/>
        <w:spacing w:before="156" w:after="156"/>
      </w:pPr>
      <w:bookmarkStart w:id="61" w:name="_Toc180078837"/>
      <w:r>
        <w:rPr>
          <w:rFonts w:hint="eastAsia"/>
        </w:rPr>
        <w:t>播期</w:t>
      </w:r>
      <w:bookmarkEnd w:id="61"/>
    </w:p>
    <w:p w14:paraId="645FCED6">
      <w:pPr>
        <w:pStyle w:val="56"/>
        <w:ind w:firstLine="420"/>
        <w:rPr>
          <w:rFonts w:hint="default" w:eastAsia="宋体"/>
          <w:lang w:val="en-US" w:eastAsia="zh-CN"/>
        </w:rPr>
      </w:pPr>
      <w:r>
        <w:rPr>
          <w:rFonts w:hint="eastAsia"/>
        </w:rPr>
        <w:t>耕作层10 cm地温稳定</w:t>
      </w:r>
      <w:r>
        <w:rPr>
          <w:rFonts w:hint="eastAsia"/>
          <w:lang w:val="en-US" w:eastAsia="zh-CN"/>
        </w:rPr>
        <w:t>达到</w:t>
      </w:r>
      <w:r>
        <w:rPr>
          <w:rFonts w:hint="eastAsia"/>
        </w:rPr>
        <w:t>10 ℃以上、土壤含水量≥15 % 时，即可播种</w:t>
      </w:r>
      <w:r>
        <w:rPr>
          <w:rFonts w:hint="eastAsia"/>
          <w:lang w:eastAsia="zh-CN"/>
        </w:rPr>
        <w:t>，</w:t>
      </w:r>
      <w:r>
        <w:rPr>
          <w:rFonts w:hint="eastAsia"/>
          <w:lang w:val="en-US" w:eastAsia="zh-CN"/>
        </w:rPr>
        <w:t>谷子大豆同期播种。</w:t>
      </w:r>
    </w:p>
    <w:p w14:paraId="4D4E796D">
      <w:pPr>
        <w:pStyle w:val="105"/>
        <w:spacing w:before="156" w:after="156"/>
      </w:pPr>
      <w:bookmarkStart w:id="62" w:name="_Toc180078839"/>
      <w:r>
        <w:rPr>
          <w:rFonts w:hint="eastAsia"/>
        </w:rPr>
        <w:t>播种</w:t>
      </w:r>
      <w:bookmarkEnd w:id="62"/>
      <w:r>
        <w:rPr>
          <w:rFonts w:hint="eastAsia"/>
          <w:lang w:val="en-US" w:eastAsia="zh-CN"/>
        </w:rPr>
        <w:t>方式</w:t>
      </w:r>
    </w:p>
    <w:p w14:paraId="699F23AA">
      <w:pPr>
        <w:pStyle w:val="56"/>
        <w:ind w:firstLine="420"/>
        <w:rPr>
          <w:rFonts w:hint="default"/>
          <w:color w:val="000000" w:themeColor="text1"/>
          <w:highlight w:val="none"/>
          <w:lang w:val="en-US"/>
          <w14:textFill>
            <w14:solidFill>
              <w14:schemeClr w14:val="tx1"/>
            </w14:solidFill>
          </w14:textFill>
        </w:rPr>
      </w:pPr>
      <w:r>
        <w:rPr>
          <w:rFonts w:hint="eastAsia"/>
          <w:color w:val="000000" w:themeColor="text1"/>
          <w:highlight w:val="none"/>
          <w:lang w:val="en-US" w:eastAsia="zh-CN"/>
          <w14:textFill>
            <w14:solidFill>
              <w14:schemeClr w14:val="tx1"/>
            </w14:solidFill>
          </w14:textFill>
        </w:rPr>
        <w:t>采用谷子和大豆精量播种机播种。谷子大豆行比3:3。谷子带行距35 cm，穴</w:t>
      </w:r>
      <w:r>
        <w:rPr>
          <w:rFonts w:hint="eastAsia"/>
          <w:color w:val="000000" w:themeColor="text1"/>
          <w:highlight w:val="none"/>
          <w14:textFill>
            <w14:solidFill>
              <w14:schemeClr w14:val="tx1"/>
            </w14:solidFill>
          </w14:textFill>
        </w:rPr>
        <w:t>距</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 xml:space="preserve"> cm，每穴</w:t>
      </w:r>
      <w:r>
        <w:rPr>
          <w:rFonts w:hint="eastAsia"/>
          <w:color w:val="000000" w:themeColor="text1"/>
          <w:highlight w:val="none"/>
          <w:lang w:val="en-US" w:eastAsia="zh-CN"/>
          <w14:textFill>
            <w14:solidFill>
              <w14:schemeClr w14:val="tx1"/>
            </w14:solidFill>
          </w14:textFill>
        </w:rPr>
        <w:t>下</w:t>
      </w:r>
      <w:r>
        <w:rPr>
          <w:rFonts w:hint="eastAsia"/>
          <w:color w:val="000000" w:themeColor="text1"/>
          <w:highlight w:val="none"/>
          <w14:textFill>
            <w14:solidFill>
              <w14:schemeClr w14:val="tx1"/>
            </w14:solidFill>
          </w14:textFill>
        </w:rPr>
        <w:t>种</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粒</w:t>
      </w:r>
      <w:r>
        <w:rPr>
          <w:rFonts w:hint="eastAsia"/>
          <w:color w:val="000000" w:themeColor="text1"/>
          <w:highlight w:val="none"/>
          <w:lang w:eastAsia="zh-CN"/>
          <w14:textFill>
            <w14:solidFill>
              <w14:schemeClr w14:val="tx1"/>
            </w14:solidFill>
          </w14:textFill>
        </w:rPr>
        <w:t>，免间苗</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大豆</w:t>
      </w:r>
      <w:r>
        <w:rPr>
          <w:rFonts w:hint="eastAsia"/>
          <w:color w:val="000000" w:themeColor="text1"/>
          <w:highlight w:val="none"/>
          <w:lang w:val="en-US" w:eastAsia="zh-CN"/>
          <w14:textFill>
            <w14:solidFill>
              <w14:schemeClr w14:val="tx1"/>
            </w14:solidFill>
          </w14:textFill>
        </w:rPr>
        <w:t>行距40 cm</w:t>
      </w:r>
      <w:r>
        <w:rPr>
          <w:rFonts w:hint="eastAsia"/>
          <w:color w:val="000000" w:themeColor="text1"/>
          <w:highlight w:val="none"/>
          <w14:textFill>
            <w14:solidFill>
              <w14:schemeClr w14:val="tx1"/>
            </w14:solidFill>
          </w14:textFill>
        </w:rPr>
        <w:t>，穴距20 cm，每穴</w:t>
      </w:r>
      <w:r>
        <w:rPr>
          <w:rFonts w:hint="eastAsia"/>
          <w:color w:val="000000" w:themeColor="text1"/>
          <w:highlight w:val="none"/>
          <w:lang w:val="en-US" w:eastAsia="zh-CN"/>
          <w14:textFill>
            <w14:solidFill>
              <w14:schemeClr w14:val="tx1"/>
            </w14:solidFill>
          </w14:textFill>
        </w:rPr>
        <w:t>下</w:t>
      </w:r>
      <w:r>
        <w:rPr>
          <w:rFonts w:hint="eastAsia"/>
          <w:color w:val="000000" w:themeColor="text1"/>
          <w:highlight w:val="none"/>
          <w14:textFill>
            <w14:solidFill>
              <w14:schemeClr w14:val="tx1"/>
            </w14:solidFill>
          </w14:textFill>
        </w:rPr>
        <w:t>种</w:t>
      </w:r>
      <w:r>
        <w:rPr>
          <w:rFonts w:hint="eastAsia"/>
          <w:color w:val="000000" w:themeColor="text1"/>
          <w:highlight w:val="none"/>
          <w:lang w:val="en-US" w:eastAsia="zh-CN"/>
          <w14:textFill>
            <w14:solidFill>
              <w14:schemeClr w14:val="tx1"/>
            </w14:solidFill>
          </w14:textFill>
        </w:rPr>
        <w:t xml:space="preserve">2 </w:t>
      </w:r>
      <w:r>
        <w:rPr>
          <w:rFonts w:hint="eastAsia"/>
          <w:color w:val="000000" w:themeColor="text1"/>
          <w:highlight w:val="none"/>
          <w14:textFill>
            <w14:solidFill>
              <w14:schemeClr w14:val="tx1"/>
            </w14:solidFill>
          </w14:textFill>
        </w:rPr>
        <w:t>粒</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谷子带和大豆带间距</w:t>
      </w:r>
      <w:r>
        <w:rPr>
          <w:rFonts w:hint="eastAsia"/>
          <w:color w:val="000000" w:themeColor="text1"/>
          <w:highlight w:val="none"/>
          <w:lang w:val="en-US" w:eastAsia="zh-CN"/>
          <w14:textFill>
            <w14:solidFill>
              <w14:schemeClr w14:val="tx1"/>
            </w14:solidFill>
          </w14:textFill>
        </w:rPr>
        <w:t xml:space="preserve">50 </w:t>
      </w:r>
      <w:r>
        <w:rPr>
          <w:rFonts w:hint="eastAsia"/>
          <w:color w:val="000000" w:themeColor="text1"/>
          <w:highlight w:val="none"/>
          <w14:textFill>
            <w14:solidFill>
              <w14:schemeClr w14:val="tx1"/>
            </w14:solidFill>
          </w14:textFill>
        </w:rPr>
        <w:t>cm。</w:t>
      </w:r>
      <w:r>
        <w:rPr>
          <w:rFonts w:hint="eastAsia"/>
          <w:color w:val="000000" w:themeColor="text1"/>
          <w:highlight w:val="none"/>
          <w:lang w:val="en-US" w:eastAsia="zh-CN"/>
          <w14:textFill>
            <w14:solidFill>
              <w14:schemeClr w14:val="tx1"/>
            </w14:solidFill>
          </w14:textFill>
        </w:rPr>
        <w:t>作业质量应符合</w:t>
      </w:r>
      <w:r>
        <w:rPr>
          <w:rFonts w:ascii="Times New Roman" w:hAnsi="Times New Roman"/>
          <w:color w:val="000000" w:themeColor="text1"/>
          <w:kern w:val="0"/>
          <w14:textFill>
            <w14:solidFill>
              <w14:schemeClr w14:val="tx1"/>
            </w14:solidFill>
          </w14:textFill>
        </w:rPr>
        <w:t xml:space="preserve">NY/T </w:t>
      </w:r>
      <w:r>
        <w:rPr>
          <w:rFonts w:hint="eastAsia" w:ascii="Times New Roman" w:hAnsi="Times New Roman"/>
          <w:color w:val="000000" w:themeColor="text1"/>
          <w:kern w:val="0"/>
          <w:lang w:val="en-US" w:eastAsia="zh-CN"/>
          <w14:textFill>
            <w14:solidFill>
              <w14:schemeClr w14:val="tx1"/>
            </w14:solidFill>
          </w14:textFill>
        </w:rPr>
        <w:t>1229</w:t>
      </w:r>
      <w:r>
        <w:rPr>
          <w:rFonts w:hint="eastAsia" w:ascii="Times New Roman"/>
          <w:color w:val="000000" w:themeColor="text1"/>
          <w:kern w:val="0"/>
          <w:lang w:val="en-US" w:eastAsia="zh-CN"/>
          <w14:textFill>
            <w14:solidFill>
              <w14:schemeClr w14:val="tx1"/>
            </w14:solidFill>
          </w14:textFill>
        </w:rPr>
        <w:t>的规定。</w:t>
      </w:r>
    </w:p>
    <w:p w14:paraId="5AD2FE07">
      <w:pPr>
        <w:pStyle w:val="104"/>
        <w:spacing w:before="312" w:after="312"/>
      </w:pPr>
      <w:bookmarkStart w:id="63" w:name="_Toc27088"/>
      <w:bookmarkStart w:id="64" w:name="_Toc180078840"/>
      <w:r>
        <w:rPr>
          <w:rFonts w:hint="eastAsia"/>
        </w:rPr>
        <w:t>田间管理</w:t>
      </w:r>
      <w:bookmarkEnd w:id="63"/>
      <w:bookmarkEnd w:id="64"/>
    </w:p>
    <w:p w14:paraId="2CB4D8B6">
      <w:pPr>
        <w:pStyle w:val="105"/>
        <w:spacing w:before="156" w:after="156"/>
        <w:rPr>
          <w:rFonts w:hint="eastAsia"/>
          <w:lang w:val="en-US" w:eastAsia="zh-CN"/>
        </w:rPr>
      </w:pPr>
      <w:r>
        <w:rPr>
          <w:rFonts w:hint="eastAsia"/>
          <w:lang w:val="en-US" w:eastAsia="zh-CN"/>
        </w:rPr>
        <w:t>施肥</w:t>
      </w:r>
    </w:p>
    <w:p w14:paraId="21424115">
      <w:pPr>
        <w:pStyle w:val="56"/>
        <w:rPr>
          <w:rFonts w:hint="eastAsia"/>
          <w:lang w:val="en-US" w:eastAsia="zh-CN"/>
        </w:rPr>
      </w:pPr>
      <w:r>
        <w:rPr>
          <w:rFonts w:hint="default" w:ascii="Times New Roman" w:hAnsi="Times New Roman" w:cs="Times New Roman"/>
          <w:color w:val="000000" w:themeColor="text1"/>
          <w14:textFill>
            <w14:solidFill>
              <w14:schemeClr w14:val="tx1"/>
            </w14:solidFill>
          </w14:textFill>
        </w:rPr>
        <w:t>种肥同播。谷子</w:t>
      </w:r>
      <w:r>
        <w:rPr>
          <w:rFonts w:hint="eastAsia" w:ascii="Times New Roman" w:cs="Times New Roman"/>
          <w:color w:val="000000" w:themeColor="text1"/>
          <w:lang w:val="en-US" w:eastAsia="zh-CN"/>
          <w14:textFill>
            <w14:solidFill>
              <w14:schemeClr w14:val="tx1"/>
            </w14:solidFill>
          </w14:textFill>
        </w:rPr>
        <w:t>带施用</w:t>
      </w:r>
      <w:r>
        <w:rPr>
          <w:rFonts w:hint="default" w:ascii="Times New Roman" w:hAnsi="Times New Roman" w:cs="Times New Roman"/>
          <w:color w:val="000000" w:themeColor="text1"/>
          <w14:textFill>
            <w14:solidFill>
              <w14:schemeClr w14:val="tx1"/>
            </w14:solidFill>
          </w14:textFill>
        </w:rPr>
        <w:t>N:P</w:t>
      </w:r>
      <w:r>
        <w:rPr>
          <w:rFonts w:hint="default" w:ascii="Times New Roman" w:hAnsi="Times New Roman" w:cs="Times New Roman"/>
          <w:color w:val="000000" w:themeColor="text1"/>
          <w:sz w:val="21"/>
          <w:vertAlign w:val="subscript"/>
          <w:lang w:val="en-US" w:eastAsia="zh-CN"/>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O</w:t>
      </w:r>
      <w:r>
        <w:rPr>
          <w:rFonts w:hint="default" w:ascii="Times New Roman" w:hAnsi="Times New Roman" w:cs="Times New Roman"/>
          <w:color w:val="000000" w:themeColor="text1"/>
          <w:sz w:val="21"/>
          <w:vertAlign w:val="subscript"/>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:K</w:t>
      </w:r>
      <w:r>
        <w:rPr>
          <w:rFonts w:hint="default" w:ascii="Times New Roman" w:hAnsi="Times New Roman" w:cs="Times New Roman"/>
          <w:color w:val="000000" w:themeColor="text1"/>
          <w:sz w:val="21"/>
          <w:vertAlign w:val="subscript"/>
          <w:lang w:val="en-US" w:eastAsia="zh-CN"/>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O=2</w:t>
      </w:r>
      <w:r>
        <w:rPr>
          <w:rFonts w:hint="eastAsia" w:ascii="Times New Roman" w:cs="Times New Roman"/>
          <w:color w:val="000000" w:themeColor="text1"/>
          <w:lang w:val="en-US" w:eastAsia="zh-CN"/>
          <w14:textFill>
            <w14:solidFill>
              <w14:schemeClr w14:val="tx1"/>
            </w14:solidFill>
          </w14:textFill>
        </w:rPr>
        <w:t>6</w:t>
      </w:r>
      <w:r>
        <w:rPr>
          <w:rFonts w:hint="default" w:ascii="Times New Roman" w:hAnsi="Times New Roman" w:cs="Times New Roman"/>
          <w:color w:val="000000" w:themeColor="text1"/>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12</w:t>
      </w:r>
      <w:r>
        <w:rPr>
          <w:rFonts w:hint="default" w:ascii="Times New Roman" w:hAnsi="Times New Roman" w:cs="Times New Roman"/>
          <w:color w:val="000000" w:themeColor="text1"/>
          <w14:textFill>
            <w14:solidFill>
              <w14:schemeClr w14:val="tx1"/>
            </w14:solidFill>
          </w14:textFill>
        </w:rPr>
        <w:t>:6缓释复合肥</w:t>
      </w:r>
      <w:r>
        <w:rPr>
          <w:rFonts w:hint="eastAsia" w:ascii="Times New Roman" w:cs="Times New Roman"/>
          <w:color w:val="000000" w:themeColor="text1"/>
          <w:lang w:val="en-US" w:eastAsia="zh-CN"/>
          <w14:textFill>
            <w14:solidFill>
              <w14:schemeClr w14:val="tx1"/>
            </w14:solidFill>
          </w14:textFill>
        </w:rPr>
        <w:t>35</w:t>
      </w:r>
      <w:r>
        <w:rPr>
          <w:rFonts w:hint="eastAsia"/>
          <w:color w:val="000000" w:themeColor="text1"/>
          <w:highlight w:val="none"/>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 xml:space="preserve">40 </w:t>
      </w:r>
      <w:r>
        <w:rPr>
          <w:rFonts w:hint="default" w:ascii="Times New Roman" w:hAnsi="Times New Roman" w:cs="Times New Roman"/>
          <w:color w:val="000000" w:themeColor="text1"/>
          <w14:textFill>
            <w14:solidFill>
              <w14:schemeClr w14:val="tx1"/>
            </w14:solidFill>
          </w14:textFill>
        </w:rPr>
        <w:t>kg/667</w:t>
      </w:r>
      <w:r>
        <w:rPr>
          <w:rFonts w:hint="eastAsia" w:ascii="Times New Roman" w:cs="Times New Roman"/>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大</w:t>
      </w:r>
      <w:r>
        <w:rPr>
          <w:rFonts w:hint="default"/>
          <w:color w:val="000000" w:themeColor="text1"/>
          <w:highlight w:val="none"/>
          <w:lang w:val="en-US" w:eastAsia="zh-CN"/>
          <w14:textFill>
            <w14:solidFill>
              <w14:schemeClr w14:val="tx1"/>
            </w14:solidFill>
          </w14:textFill>
        </w:rPr>
        <w:t>豆</w:t>
      </w:r>
      <w:r>
        <w:rPr>
          <w:rFonts w:hint="eastAsia"/>
          <w:color w:val="000000" w:themeColor="text1"/>
          <w:highlight w:val="none"/>
          <w:lang w:val="en-US" w:eastAsia="zh-CN"/>
          <w14:textFill>
            <w14:solidFill>
              <w14:schemeClr w14:val="tx1"/>
            </w14:solidFill>
          </w14:textFill>
        </w:rPr>
        <w:t>带施用</w:t>
      </w:r>
      <w:r>
        <w:rPr>
          <w:rFonts w:hint="default" w:ascii="Times New Roman" w:hAnsi="Times New Roman" w:cs="Times New Roman"/>
          <w:color w:val="000000" w:themeColor="text1"/>
          <w14:textFill>
            <w14:solidFill>
              <w14:schemeClr w14:val="tx1"/>
            </w14:solidFill>
          </w14:textFill>
        </w:rPr>
        <w:t>N:P</w:t>
      </w:r>
      <w:r>
        <w:rPr>
          <w:rFonts w:hint="default" w:ascii="Times New Roman" w:hAnsi="Times New Roman" w:cs="Times New Roman"/>
          <w:color w:val="000000" w:themeColor="text1"/>
          <w:sz w:val="21"/>
          <w:vertAlign w:val="subscript"/>
          <w:lang w:val="en-US" w:eastAsia="zh-CN"/>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O</w:t>
      </w:r>
      <w:r>
        <w:rPr>
          <w:rFonts w:hint="default" w:ascii="Times New Roman" w:hAnsi="Times New Roman" w:cs="Times New Roman"/>
          <w:color w:val="000000" w:themeColor="text1"/>
          <w:sz w:val="21"/>
          <w:vertAlign w:val="subscript"/>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:K</w:t>
      </w:r>
      <w:r>
        <w:rPr>
          <w:rFonts w:hint="default" w:ascii="Times New Roman" w:hAnsi="Times New Roman" w:cs="Times New Roman"/>
          <w:color w:val="000000" w:themeColor="text1"/>
          <w:sz w:val="21"/>
          <w:vertAlign w:val="subscript"/>
          <w:lang w:val="en-US" w:eastAsia="zh-CN"/>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O=12:18:15缓释复合肥</w:t>
      </w:r>
      <w:r>
        <w:rPr>
          <w:rFonts w:hint="eastAsia" w:ascii="Times New Roman" w:cs="Times New Roman"/>
          <w:color w:val="000000" w:themeColor="text1"/>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 xml:space="preserve">20 </w:t>
      </w:r>
      <w:r>
        <w:rPr>
          <w:rFonts w:hint="default" w:ascii="Times New Roman" w:hAnsi="Times New Roman" w:cs="Times New Roman"/>
          <w:color w:val="000000" w:themeColor="text1"/>
          <w14:textFill>
            <w14:solidFill>
              <w14:schemeClr w14:val="tx1"/>
            </w14:solidFill>
          </w14:textFill>
        </w:rPr>
        <w:t>kg/667</w:t>
      </w:r>
      <w:r>
        <w:rPr>
          <w:rFonts w:hint="eastAsia" w:ascii="Times New Roman" w:cs="Times New Roman"/>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m</w:t>
      </w:r>
      <w:r>
        <w:rPr>
          <w:rFonts w:hint="eastAsia"/>
          <w:color w:val="000000" w:themeColor="text1"/>
          <w:vertAlign w:val="super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肥料使用符合NY/T</w:t>
      </w:r>
      <w:r>
        <w:rPr>
          <w:rFonts w:hint="eastAsia"/>
          <w:color w:val="000000" w:themeColor="text1"/>
          <w:lang w:val="en-US" w:eastAsia="zh-CN"/>
          <w14:textFill>
            <w14:solidFill>
              <w14:schemeClr w14:val="tx1"/>
            </w14:solidFill>
          </w14:textFill>
        </w:rPr>
        <w:t xml:space="preserve"> 496</w:t>
      </w:r>
      <w:r>
        <w:rPr>
          <w:rFonts w:hint="eastAsia"/>
          <w:color w:val="000000" w:themeColor="text1"/>
          <w14:textFill>
            <w14:solidFill>
              <w14:schemeClr w14:val="tx1"/>
            </w14:solidFill>
          </w14:textFill>
        </w:rPr>
        <w:t>的规定。</w:t>
      </w:r>
    </w:p>
    <w:p w14:paraId="4091A110">
      <w:pPr>
        <w:pStyle w:val="105"/>
        <w:spacing w:before="156" w:after="156"/>
        <w:rPr>
          <w:rFonts w:hint="eastAsia"/>
          <w:lang w:val="en-US" w:eastAsia="zh-CN"/>
        </w:rPr>
      </w:pPr>
      <w:r>
        <w:rPr>
          <w:rFonts w:hint="eastAsia"/>
          <w:lang w:val="en-US" w:eastAsia="zh-CN"/>
        </w:rPr>
        <w:t>控旺</w:t>
      </w:r>
    </w:p>
    <w:p w14:paraId="530BCDDF">
      <w:pPr>
        <w:pStyle w:val="56"/>
        <w:rPr>
          <w:rFonts w:hint="eastAsia"/>
          <w:lang w:val="en-US" w:eastAsia="zh-CN"/>
        </w:rPr>
      </w:pPr>
      <w:r>
        <w:rPr>
          <w:rFonts w:hint="eastAsia"/>
          <w:lang w:val="en-US" w:eastAsia="zh-CN"/>
        </w:rPr>
        <w:t>根据生长情况，可选用谷子、大豆生长调节剂</w:t>
      </w:r>
      <w:bookmarkStart w:id="71" w:name="_GoBack"/>
      <w:bookmarkEnd w:id="71"/>
      <w:r>
        <w:rPr>
          <w:rFonts w:hint="eastAsia"/>
          <w:lang w:val="en-US" w:eastAsia="zh-CN"/>
        </w:rPr>
        <w:t>分别进行化学控旺。</w:t>
      </w:r>
    </w:p>
    <w:p w14:paraId="45482861">
      <w:pPr>
        <w:pStyle w:val="104"/>
        <w:spacing w:before="312" w:after="312"/>
        <w:rPr>
          <w:rFonts w:hint="eastAsia"/>
        </w:rPr>
      </w:pPr>
      <w:bookmarkStart w:id="65" w:name="_Toc20226"/>
      <w:bookmarkStart w:id="66" w:name="_Toc180078844"/>
      <w:r>
        <w:rPr>
          <w:rFonts w:hint="eastAsia"/>
        </w:rPr>
        <w:t>病虫</w:t>
      </w:r>
      <w:r>
        <w:rPr>
          <w:rFonts w:hint="eastAsia"/>
          <w:lang w:val="en-US" w:eastAsia="zh-CN"/>
        </w:rPr>
        <w:t>草</w:t>
      </w:r>
      <w:r>
        <w:rPr>
          <w:rFonts w:hint="eastAsia"/>
        </w:rPr>
        <w:t>害防治</w:t>
      </w:r>
      <w:bookmarkEnd w:id="65"/>
      <w:bookmarkEnd w:id="66"/>
    </w:p>
    <w:p w14:paraId="69BB7A4C">
      <w:pPr>
        <w:pStyle w:val="105"/>
        <w:spacing w:before="156" w:after="156"/>
        <w:rPr>
          <w:rFonts w:hint="default"/>
          <w:lang w:val="en-US"/>
        </w:rPr>
      </w:pPr>
      <w:r>
        <w:rPr>
          <w:rFonts w:hint="eastAsia"/>
          <w:lang w:val="en-US" w:eastAsia="zh-CN"/>
        </w:rPr>
        <w:t>病虫害防治</w:t>
      </w:r>
    </w:p>
    <w:p w14:paraId="675E1F64">
      <w:pPr>
        <w:pStyle w:val="65"/>
        <w:spacing w:before="156" w:after="156"/>
        <w:rPr>
          <w:rFonts w:hint="eastAsia"/>
        </w:rPr>
      </w:pPr>
      <w:r>
        <w:rPr>
          <w:rFonts w:hint="eastAsia"/>
          <w:lang w:val="en-US" w:eastAsia="zh-CN"/>
        </w:rPr>
        <w:t>防治原则</w:t>
      </w:r>
    </w:p>
    <w:p w14:paraId="5622A5A2">
      <w:pPr>
        <w:pStyle w:val="56"/>
        <w:ind w:firstLine="420"/>
        <w:rPr>
          <w:rFonts w:hint="default" w:eastAsia="宋体"/>
          <w:lang w:val="en-US" w:eastAsia="zh-CN"/>
        </w:rPr>
      </w:pPr>
      <w:r>
        <w:rPr>
          <w:rFonts w:hint="eastAsia"/>
          <w:lang w:val="en-US" w:eastAsia="zh-CN"/>
        </w:rPr>
        <w:t>病虫害防治</w:t>
      </w:r>
      <w:r>
        <w:rPr>
          <w:rFonts w:hint="eastAsia"/>
        </w:rPr>
        <w:t>遵循“预防为主，综合防治”的</w:t>
      </w:r>
      <w:r>
        <w:rPr>
          <w:rFonts w:hint="eastAsia"/>
          <w:lang w:val="en-US" w:eastAsia="zh-CN"/>
        </w:rPr>
        <w:t>防治原则</w:t>
      </w:r>
      <w:r>
        <w:rPr>
          <w:rFonts w:hint="eastAsia"/>
        </w:rPr>
        <w:t>，</w:t>
      </w:r>
      <w:r>
        <w:rPr>
          <w:rFonts w:hint="eastAsia"/>
          <w:lang w:val="en-US" w:eastAsia="zh-CN"/>
        </w:rPr>
        <w:t>以谷子大豆主要病虫害防控为重点，综合应用物理防治、生物防治和化学防治等防控措施。</w:t>
      </w:r>
    </w:p>
    <w:p w14:paraId="1C57D56F">
      <w:pPr>
        <w:pStyle w:val="65"/>
        <w:spacing w:before="156" w:after="156"/>
        <w:rPr>
          <w:rFonts w:hint="eastAsia"/>
        </w:rPr>
      </w:pPr>
      <w:r>
        <w:rPr>
          <w:rFonts w:hint="eastAsia"/>
        </w:rPr>
        <w:t>物理防治</w:t>
      </w:r>
    </w:p>
    <w:p w14:paraId="1ECC778B">
      <w:pPr>
        <w:pStyle w:val="56"/>
        <w:ind w:firstLine="420"/>
      </w:pPr>
      <w:r>
        <w:rPr>
          <w:rFonts w:hint="eastAsia"/>
        </w:rPr>
        <w:t>采用频振灯诱杀粟灰螟、玉米螟、食心虫等害虫的成虫，按照灯管功率15 W的单灯控制半径120 m进行布灯，高度为杀虫灯接虫口离地面1.5 m左右；大豆蚜虫用银灰色遮阳网或塑料膜条悬挂趋避。</w:t>
      </w:r>
    </w:p>
    <w:p w14:paraId="6144F4D3">
      <w:pPr>
        <w:pStyle w:val="65"/>
        <w:spacing w:before="156" w:after="156"/>
        <w:rPr>
          <w:rFonts w:hint="eastAsia"/>
        </w:rPr>
      </w:pPr>
      <w:r>
        <w:rPr>
          <w:rFonts w:hint="eastAsia"/>
        </w:rPr>
        <w:t>生物防治</w:t>
      </w:r>
    </w:p>
    <w:p w14:paraId="6109EBF8">
      <w:pPr>
        <w:pStyle w:val="56"/>
        <w:ind w:firstLine="420"/>
      </w:pPr>
      <w:r>
        <w:rPr>
          <w:rFonts w:hint="eastAsia"/>
          <w:lang w:val="en-US" w:eastAsia="zh-CN"/>
        </w:rPr>
        <w:t>选用</w:t>
      </w:r>
      <w:r>
        <w:rPr>
          <w:rFonts w:hint="eastAsia"/>
        </w:rPr>
        <w:t>苏云金杆菌、白僵菌、绿僵菌等</w:t>
      </w:r>
      <w:r>
        <w:rPr>
          <w:rFonts w:hint="eastAsia"/>
          <w:lang w:val="en-US" w:eastAsia="zh-CN"/>
        </w:rPr>
        <w:t>生物制剂防治玉米螟、大豆食心虫等害虫</w:t>
      </w:r>
      <w:r>
        <w:rPr>
          <w:rFonts w:hint="eastAsia"/>
        </w:rPr>
        <w:t>。在病虫害发生初期，可使用苦内酯、黎芦碱醇溶液、苦参碱、烟碱等植物源</w:t>
      </w:r>
      <w:r>
        <w:rPr>
          <w:rFonts w:hint="eastAsia"/>
          <w:lang w:val="en-US" w:eastAsia="zh-CN"/>
        </w:rPr>
        <w:t>制剂</w:t>
      </w:r>
      <w:r>
        <w:rPr>
          <w:rFonts w:hint="eastAsia"/>
        </w:rPr>
        <w:t>防治病虫害。</w:t>
      </w:r>
    </w:p>
    <w:p w14:paraId="774D9C81">
      <w:pPr>
        <w:pStyle w:val="65"/>
        <w:spacing w:before="156" w:after="156"/>
        <w:rPr>
          <w:rFonts w:hint="eastAsia"/>
        </w:rPr>
      </w:pPr>
      <w:r>
        <w:rPr>
          <w:rFonts w:hint="eastAsia"/>
        </w:rPr>
        <w:t>化学防治</w:t>
      </w:r>
    </w:p>
    <w:p w14:paraId="61233DD5">
      <w:pPr>
        <w:pStyle w:val="56"/>
        <w:keepNext w:val="0"/>
        <w:keepLines w:val="0"/>
        <w:pageBreakBefore w:val="0"/>
        <w:widowControl/>
        <w:kinsoku/>
        <w:wordWrap w:val="0"/>
        <w:overflowPunct/>
        <w:topLinePunct w:val="0"/>
        <w:autoSpaceDE w:val="0"/>
        <w:autoSpaceDN w:val="0"/>
        <w:bidi w:val="0"/>
        <w:adjustRightInd/>
        <w:snapToGrid/>
        <w:ind w:firstLine="420"/>
        <w:textAlignment w:val="auto"/>
        <w:rPr>
          <w:rFonts w:hint="eastAsia"/>
          <w:lang w:val="en-US" w:eastAsia="zh-CN"/>
        </w:rPr>
      </w:pPr>
      <w:r>
        <w:rPr>
          <w:rFonts w:hint="eastAsia"/>
          <w:lang w:val="en-US" w:eastAsia="zh-CN"/>
        </w:rPr>
        <w:t>病虫发生危害严重，达到防治指标时，选用高效、安全、低毒化学药剂。药剂选择和使用符合 GB/T 8321和 NY/T 1276 的规定。</w:t>
      </w:r>
    </w:p>
    <w:p w14:paraId="25837720">
      <w:pPr>
        <w:pStyle w:val="105"/>
        <w:spacing w:before="156" w:after="156"/>
        <w:rPr>
          <w:rFonts w:hint="default"/>
          <w:lang w:val="en-US" w:eastAsia="zh-CN"/>
        </w:rPr>
      </w:pPr>
      <w:r>
        <w:rPr>
          <w:rFonts w:hint="eastAsia"/>
          <w:lang w:val="en-US" w:eastAsia="zh-CN"/>
        </w:rPr>
        <w:t>草害防治</w:t>
      </w:r>
    </w:p>
    <w:p w14:paraId="7E70ACA0">
      <w:pPr>
        <w:pStyle w:val="56"/>
        <w:keepNext w:val="0"/>
        <w:keepLines w:val="0"/>
        <w:pageBreakBefore w:val="0"/>
        <w:widowControl/>
        <w:kinsoku/>
        <w:wordWrap w:val="0"/>
        <w:overflowPunct/>
        <w:topLinePunct w:val="0"/>
        <w:autoSpaceDE w:val="0"/>
        <w:autoSpaceDN w:val="0"/>
        <w:bidi w:val="0"/>
        <w:adjustRightInd/>
        <w:snapToGrid/>
        <w:ind w:firstLine="420"/>
        <w:textAlignment w:val="auto"/>
        <w:rPr>
          <w:rFonts w:hint="eastAsia"/>
          <w:lang w:val="en-US" w:eastAsia="zh-CN"/>
        </w:rPr>
      </w:pPr>
      <w:r>
        <w:rPr>
          <w:rFonts w:hint="eastAsia"/>
          <w:lang w:val="en-US" w:eastAsia="zh-CN"/>
        </w:rPr>
        <w:t>选用噻吩磺隆等禾豆兼用型除草剂茎叶喷雾除草。除草剂使用符合NY/T 1997的规定。</w:t>
      </w:r>
    </w:p>
    <w:p w14:paraId="6AC80D4A">
      <w:pPr>
        <w:pStyle w:val="104"/>
        <w:spacing w:before="312" w:after="312"/>
      </w:pPr>
      <w:bookmarkStart w:id="67" w:name="_Toc180078845"/>
      <w:bookmarkStart w:id="68" w:name="_Toc23607"/>
      <w:r>
        <w:rPr>
          <w:rFonts w:hint="eastAsia"/>
        </w:rPr>
        <w:t>收获</w:t>
      </w:r>
      <w:bookmarkEnd w:id="67"/>
      <w:bookmarkEnd w:id="68"/>
    </w:p>
    <w:p w14:paraId="3ABA57FD">
      <w:pPr>
        <w:pStyle w:val="56"/>
        <w:ind w:firstLine="420"/>
        <w:rPr>
          <w:rFonts w:hint="eastAsia"/>
          <w:lang w:val="en-US" w:eastAsia="zh-CN"/>
        </w:rPr>
      </w:pPr>
      <w:r>
        <w:rPr>
          <w:rFonts w:hint="eastAsia"/>
          <w:lang w:val="en-US" w:eastAsia="zh-CN"/>
        </w:rPr>
        <w:t>谷子颖壳变黄、谷穗断青、籽粒变硬，即可收获。大豆叶片全部脱落、籽粒变硬归圆，即可收获。</w:t>
      </w:r>
    </w:p>
    <w:p w14:paraId="6109A148">
      <w:pPr>
        <w:pStyle w:val="56"/>
        <w:ind w:left="0" w:leftChars="0" w:firstLine="0" w:firstLineChars="0"/>
        <w:rPr>
          <w:rFonts w:hint="eastAsia"/>
          <w:lang w:val="en-US" w:eastAsia="zh-CN"/>
        </w:rPr>
      </w:pPr>
      <w:r>
        <w:rPr>
          <w:rFonts w:hint="eastAsia"/>
          <w:lang w:val="en-US" w:eastAsia="zh-CN"/>
        </w:rPr>
        <w:t>可采用机械或人工收获。</w:t>
      </w:r>
      <w:bookmarkEnd w:id="25"/>
      <w:bookmarkStart w:id="69" w:name="BookMark5"/>
    </w:p>
    <w:p w14:paraId="521021BF">
      <w:pPr>
        <w:pStyle w:val="56"/>
        <w:ind w:left="0" w:leftChars="0" w:firstLine="0" w:firstLineChars="0"/>
        <w:rPr>
          <w:rFonts w:hint="eastAsia"/>
          <w:lang w:val="en-US" w:eastAsia="zh-CN"/>
        </w:rPr>
      </w:pPr>
    </w:p>
    <w:p w14:paraId="7D7CED40">
      <w:pPr>
        <w:pStyle w:val="56"/>
        <w:ind w:left="0" w:leftChars="0" w:firstLine="0" w:firstLineChars="0"/>
        <w:rPr>
          <w:rFonts w:hint="eastAsia"/>
          <w:lang w:val="en-US" w:eastAsia="zh-CN"/>
        </w:rPr>
      </w:pPr>
    </w:p>
    <w:p w14:paraId="224FE561">
      <w:pPr>
        <w:pStyle w:val="56"/>
        <w:ind w:left="0" w:leftChars="0" w:firstLine="0" w:firstLineChars="0"/>
        <w:rPr>
          <w:rFonts w:hint="eastAsia"/>
          <w:lang w:val="en-US" w:eastAsia="zh-CN"/>
        </w:rPr>
      </w:pPr>
    </w:p>
    <w:bookmarkEnd w:id="69"/>
    <w:p w14:paraId="23825B77">
      <w:pPr>
        <w:pStyle w:val="56"/>
        <w:ind w:firstLine="0" w:firstLineChars="0"/>
        <w:jc w:val="center"/>
      </w:pPr>
      <w:bookmarkStart w:id="7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7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8ABF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AFB5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B7DB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26FEE">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556B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926C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4477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BFF05">
    <w:pPr>
      <w:pStyle w:val="61"/>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CC6C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4111"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ZTQ3MGU1NTQ1YmExZWJjNzZjMGM4YmE4MTBhZTYifQ=="/>
  </w:docVars>
  <w:rsids>
    <w:rsidRoot w:val="0001781C"/>
    <w:rsid w:val="0000040A"/>
    <w:rsid w:val="00000A94"/>
    <w:rsid w:val="00001972"/>
    <w:rsid w:val="00001D9A"/>
    <w:rsid w:val="00007B3A"/>
    <w:rsid w:val="000107E0"/>
    <w:rsid w:val="00011FDE"/>
    <w:rsid w:val="00012FFD"/>
    <w:rsid w:val="00014162"/>
    <w:rsid w:val="00014340"/>
    <w:rsid w:val="00016A9C"/>
    <w:rsid w:val="0001781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C97"/>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B8A"/>
    <w:rsid w:val="0014033A"/>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16C"/>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A5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51D"/>
    <w:rsid w:val="00285170"/>
    <w:rsid w:val="00285361"/>
    <w:rsid w:val="0029143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68C"/>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3D8"/>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3B8"/>
    <w:rsid w:val="00A4452E"/>
    <w:rsid w:val="00A4472C"/>
    <w:rsid w:val="00A44E69"/>
    <w:rsid w:val="00A4661E"/>
    <w:rsid w:val="00A479F7"/>
    <w:rsid w:val="00A55BD6"/>
    <w:rsid w:val="00A55D50"/>
    <w:rsid w:val="00A57142"/>
    <w:rsid w:val="00A648CD"/>
    <w:rsid w:val="00A6537A"/>
    <w:rsid w:val="00A67866"/>
    <w:rsid w:val="00A70B07"/>
    <w:rsid w:val="00A723F8"/>
    <w:rsid w:val="00A77CCB"/>
    <w:rsid w:val="00A77F24"/>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359"/>
    <w:rsid w:val="00B939B1"/>
    <w:rsid w:val="00B96D40"/>
    <w:rsid w:val="00B97386"/>
    <w:rsid w:val="00B97BE2"/>
    <w:rsid w:val="00BA263B"/>
    <w:rsid w:val="00BA42B2"/>
    <w:rsid w:val="00BA58D4"/>
    <w:rsid w:val="00BA5B9E"/>
    <w:rsid w:val="00BA7C9A"/>
    <w:rsid w:val="00BB203B"/>
    <w:rsid w:val="00BB33A3"/>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565"/>
    <w:rsid w:val="00C80CB8"/>
    <w:rsid w:val="00C819F8"/>
    <w:rsid w:val="00C8248C"/>
    <w:rsid w:val="00C84E33"/>
    <w:rsid w:val="00C86D6F"/>
    <w:rsid w:val="00C905FC"/>
    <w:rsid w:val="00C9140D"/>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34F"/>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4DCE"/>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496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573A2"/>
    <w:rsid w:val="027421B6"/>
    <w:rsid w:val="02954528"/>
    <w:rsid w:val="02A176B9"/>
    <w:rsid w:val="03DD1CE2"/>
    <w:rsid w:val="05145A0C"/>
    <w:rsid w:val="06CC5E0F"/>
    <w:rsid w:val="073065CD"/>
    <w:rsid w:val="076F711D"/>
    <w:rsid w:val="09D7069F"/>
    <w:rsid w:val="0B7A69B0"/>
    <w:rsid w:val="0BB21A66"/>
    <w:rsid w:val="0BBD0681"/>
    <w:rsid w:val="0C7B48C5"/>
    <w:rsid w:val="0CAF0995"/>
    <w:rsid w:val="0CB8153E"/>
    <w:rsid w:val="0D11309A"/>
    <w:rsid w:val="0D770891"/>
    <w:rsid w:val="0E1F1149"/>
    <w:rsid w:val="0EC95AAB"/>
    <w:rsid w:val="0ECA07E3"/>
    <w:rsid w:val="0F00013E"/>
    <w:rsid w:val="0F6F19F5"/>
    <w:rsid w:val="10176FA2"/>
    <w:rsid w:val="102D240F"/>
    <w:rsid w:val="10AF58DC"/>
    <w:rsid w:val="10D27D7D"/>
    <w:rsid w:val="11091A0F"/>
    <w:rsid w:val="11283E40"/>
    <w:rsid w:val="142148E5"/>
    <w:rsid w:val="15284B2A"/>
    <w:rsid w:val="157B57FF"/>
    <w:rsid w:val="167352F2"/>
    <w:rsid w:val="19B76544"/>
    <w:rsid w:val="1C291AAE"/>
    <w:rsid w:val="1C9E3764"/>
    <w:rsid w:val="1DD01570"/>
    <w:rsid w:val="1E19315B"/>
    <w:rsid w:val="1E7159F1"/>
    <w:rsid w:val="1F597063"/>
    <w:rsid w:val="1FA71992"/>
    <w:rsid w:val="20392DB8"/>
    <w:rsid w:val="20983107"/>
    <w:rsid w:val="20AC07C9"/>
    <w:rsid w:val="234A7D37"/>
    <w:rsid w:val="248F4E23"/>
    <w:rsid w:val="24A96F54"/>
    <w:rsid w:val="252D7AF9"/>
    <w:rsid w:val="26952D25"/>
    <w:rsid w:val="26A8655B"/>
    <w:rsid w:val="29AC4BF9"/>
    <w:rsid w:val="2A027E45"/>
    <w:rsid w:val="2B854E36"/>
    <w:rsid w:val="2CB835B0"/>
    <w:rsid w:val="2CF504F0"/>
    <w:rsid w:val="2D334B80"/>
    <w:rsid w:val="2D865FF5"/>
    <w:rsid w:val="2DD95D56"/>
    <w:rsid w:val="332C31B3"/>
    <w:rsid w:val="35B249D7"/>
    <w:rsid w:val="387C10A8"/>
    <w:rsid w:val="3BCF3C90"/>
    <w:rsid w:val="3CD70CBD"/>
    <w:rsid w:val="3D9245F3"/>
    <w:rsid w:val="3F06588A"/>
    <w:rsid w:val="42992BE9"/>
    <w:rsid w:val="42AC48D8"/>
    <w:rsid w:val="42D75F35"/>
    <w:rsid w:val="44B57217"/>
    <w:rsid w:val="458D3259"/>
    <w:rsid w:val="459E3BB6"/>
    <w:rsid w:val="463F3E13"/>
    <w:rsid w:val="4873378B"/>
    <w:rsid w:val="4888311B"/>
    <w:rsid w:val="48A676FE"/>
    <w:rsid w:val="4ABB26F9"/>
    <w:rsid w:val="4B1D4687"/>
    <w:rsid w:val="4BA64D0D"/>
    <w:rsid w:val="4C6A7C2D"/>
    <w:rsid w:val="4EA93DFF"/>
    <w:rsid w:val="4FBF69A5"/>
    <w:rsid w:val="4FD543EC"/>
    <w:rsid w:val="500241CF"/>
    <w:rsid w:val="502349AD"/>
    <w:rsid w:val="50B87650"/>
    <w:rsid w:val="514508DB"/>
    <w:rsid w:val="53791C32"/>
    <w:rsid w:val="54C343AC"/>
    <w:rsid w:val="550F3292"/>
    <w:rsid w:val="565847C5"/>
    <w:rsid w:val="56CC7A16"/>
    <w:rsid w:val="571959DC"/>
    <w:rsid w:val="59A151ED"/>
    <w:rsid w:val="5AF96577"/>
    <w:rsid w:val="5B6C559D"/>
    <w:rsid w:val="5BAE5554"/>
    <w:rsid w:val="5D445AA3"/>
    <w:rsid w:val="5D9B28C6"/>
    <w:rsid w:val="5DAA1DAA"/>
    <w:rsid w:val="5E193ADA"/>
    <w:rsid w:val="5E24290B"/>
    <w:rsid w:val="60B03C52"/>
    <w:rsid w:val="61505ED6"/>
    <w:rsid w:val="615279E0"/>
    <w:rsid w:val="61565DA5"/>
    <w:rsid w:val="615A5620"/>
    <w:rsid w:val="61BB5D75"/>
    <w:rsid w:val="61D17319"/>
    <w:rsid w:val="6230123F"/>
    <w:rsid w:val="62BC6150"/>
    <w:rsid w:val="64C94F20"/>
    <w:rsid w:val="65F362B8"/>
    <w:rsid w:val="65F83E57"/>
    <w:rsid w:val="678161BB"/>
    <w:rsid w:val="67B23D2E"/>
    <w:rsid w:val="68EE1230"/>
    <w:rsid w:val="6A2667A0"/>
    <w:rsid w:val="6A333406"/>
    <w:rsid w:val="6A3E65DA"/>
    <w:rsid w:val="6A4067BE"/>
    <w:rsid w:val="6C983716"/>
    <w:rsid w:val="6D0F4F35"/>
    <w:rsid w:val="6EBB2D09"/>
    <w:rsid w:val="6EC20732"/>
    <w:rsid w:val="700E45FE"/>
    <w:rsid w:val="710E21F8"/>
    <w:rsid w:val="71153539"/>
    <w:rsid w:val="711C39B9"/>
    <w:rsid w:val="7151187F"/>
    <w:rsid w:val="71AA0173"/>
    <w:rsid w:val="72921205"/>
    <w:rsid w:val="72D65ACA"/>
    <w:rsid w:val="734E2D80"/>
    <w:rsid w:val="73966293"/>
    <w:rsid w:val="758D5DE2"/>
    <w:rsid w:val="75984ABB"/>
    <w:rsid w:val="75B7A13A"/>
    <w:rsid w:val="763A339C"/>
    <w:rsid w:val="76EA2BCD"/>
    <w:rsid w:val="777A2396"/>
    <w:rsid w:val="78B14583"/>
    <w:rsid w:val="78EF3DF1"/>
    <w:rsid w:val="79A234E1"/>
    <w:rsid w:val="7A7A445B"/>
    <w:rsid w:val="7B0703E4"/>
    <w:rsid w:val="7C54390E"/>
    <w:rsid w:val="7F266014"/>
    <w:rsid w:val="7FF17767"/>
    <w:rsid w:val="BA7B23C6"/>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章标题"/>
    <w:basedOn w:val="1"/>
    <w:next w:val="1"/>
    <w:qFormat/>
    <w:uiPriority w:val="0"/>
    <w:pPr>
      <w:widowControl/>
      <w:adjustRightInd/>
      <w:spacing w:beforeLines="50" w:afterLines="50" w:line="240" w:lineRule="auto"/>
      <w:outlineLvl w:val="1"/>
    </w:pPr>
    <w:rPr>
      <w:rFonts w:ascii="黑体" w:hAnsi="黑体" w:eastAsia="黑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8430AAE4CC04823BC370E7FACF05819"/>
        <w:style w:val=""/>
        <w:category>
          <w:name w:val="常规"/>
          <w:gallery w:val="placeholder"/>
        </w:category>
        <w:types>
          <w:type w:val="bbPlcHdr"/>
        </w:types>
        <w:behaviors>
          <w:behavior w:val="content"/>
        </w:behaviors>
        <w:description w:val=""/>
        <w:guid w:val="{5E510125-66EC-40F4-AC71-B6F2AEC85B7C}"/>
      </w:docPartPr>
      <w:docPartBody>
        <w:p w14:paraId="5B5C16BC">
          <w:pPr>
            <w:pStyle w:val="5"/>
            <w:rPr>
              <w:rFonts w:hint="eastAsia"/>
            </w:rPr>
          </w:pPr>
          <w:r>
            <w:rPr>
              <w:rStyle w:val="4"/>
              <w:rFonts w:hint="eastAsia"/>
            </w:rPr>
            <w:t>单击或点击此处输入文字。</w:t>
          </w:r>
        </w:p>
      </w:docPartBody>
    </w:docPart>
    <w:docPart>
      <w:docPartPr>
        <w:name w:val="85AFAB50303049B381E08CE05CC5AB63"/>
        <w:style w:val=""/>
        <w:category>
          <w:name w:val="常规"/>
          <w:gallery w:val="placeholder"/>
        </w:category>
        <w:types>
          <w:type w:val="bbPlcHdr"/>
        </w:types>
        <w:behaviors>
          <w:behavior w:val="content"/>
        </w:behaviors>
        <w:description w:val=""/>
        <w:guid w:val="{F0319A90-30AE-4016-ACC3-7E1EF834D242}"/>
      </w:docPartPr>
      <w:docPartBody>
        <w:p w14:paraId="1E0F7255">
          <w:pPr>
            <w:pStyle w:val="6"/>
            <w:rPr>
              <w:rFonts w:hint="eastAsia"/>
            </w:rPr>
          </w:pPr>
          <w:r>
            <w:rPr>
              <w:rStyle w:val="4"/>
              <w:rFonts w:hint="eastAsia"/>
            </w:rPr>
            <w:t>选择一项。</w:t>
          </w:r>
        </w:p>
      </w:docPartBody>
    </w:docPart>
    <w:docPart>
      <w:docPartPr>
        <w:name w:val="7E78F6EE8DBD4E1082BA27A762867998"/>
        <w:style w:val=""/>
        <w:category>
          <w:name w:val="常规"/>
          <w:gallery w:val="placeholder"/>
        </w:category>
        <w:types>
          <w:type w:val="bbPlcHdr"/>
        </w:types>
        <w:behaviors>
          <w:behavior w:val="content"/>
        </w:behaviors>
        <w:description w:val=""/>
        <w:guid w:val="{83840CFC-BFC9-4302-8A6E-5281377DA486}"/>
      </w:docPartPr>
      <w:docPartBody>
        <w:p w14:paraId="60372CA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286"/>
    <w:rsid w:val="00681286"/>
    <w:rsid w:val="00A479F7"/>
    <w:rsid w:val="00CF3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8430AAE4CC04823BC370E7FACF058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5AFAB50303049B381E08CE05CC5AB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E78F6EE8DBD4E1082BA27A76286799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1533</Words>
  <Characters>1789</Characters>
  <Lines>38</Lines>
  <Paragraphs>10</Paragraphs>
  <TotalTime>5</TotalTime>
  <ScaleCrop>false</ScaleCrop>
  <LinksUpToDate>false</LinksUpToDate>
  <CharactersWithSpaces>1898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2024-10-17T16:03:00Z</dcterms:created>
  <dc:creator>xb21cn</dc:creator>
  <dc:description>&lt;config cover="true" show_menu="true" version="1.0.0" doctype="SDKXY"&gt;_x000d_
&lt;/config&gt;</dc:description>
  <cp:lastModifiedBy>态度决定一切</cp:lastModifiedBy>
  <cp:lastPrinted>2024-10-17T21:11:00Z</cp:lastPrinted>
  <dcterms:modified xsi:type="dcterms:W3CDTF">2024-10-29T13:08:01Z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D2F911F64C2048018467827282F9542B_12</vt:lpwstr>
  </property>
</Properties>
</file>